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val="0"/>
        <w:spacing w:before="0" w:after="160" w:line="240" w:lineRule="auto"/>
      </w:pPr>
      <w:r>
        <w:rPr>
          <w:rFonts w:ascii="Carlito" w:hAnsi="Carlito" w:eastAsia="Carlito"/>
          <w:b/>
          <w:color w:val="3F78A8"/>
          <w:sz w:val="17"/>
          <w:caps/>
        </w:rPr>
        <w:t>PUBLIC PROOF DOSSIER | VERSION 2.0</w:t>
      </w:r>
    </w:p>
    <w:p>
      <w:pPr>
        <w:keepNext/>
        <w:keepLines/>
        <w:spacing w:before="0" w:after="60" w:line="240" w:lineRule="auto"/>
      </w:pPr>
      <w:r>
        <w:rPr>
          <w:rFonts w:ascii="Carlito" w:hAnsi="Carlito" w:eastAsia="Carlito"/>
          <w:b/>
          <w:color w:val="1C1F22"/>
          <w:sz w:val="62"/>
        </w:rPr>
        <w:t>From Assertion to Authority</w:t>
      </w:r>
    </w:p>
    <w:p>
      <w:pPr>
        <w:keepNext/>
        <w:keepLines w:val="0"/>
        <w:spacing w:before="0" w:after="80" w:line="240" w:lineRule="auto"/>
      </w:pPr>
      <w:r>
        <w:rPr>
          <w:rFonts w:ascii="Carlito" w:hAnsi="Carlito" w:eastAsia="Carlito"/>
          <w:color w:val="58616A"/>
          <w:sz w:val="28"/>
        </w:rPr>
        <w:t>A Decision Integrity Reconstruction of Mata v. Avianca</w:t>
      </w:r>
    </w:p>
    <w:p>
      <w:pPr>
        <w:keepNext w:val="0"/>
        <w:keepLines w:val="0"/>
        <w:spacing w:before="40" w:after="200" w:line="240" w:lineRule="auto"/>
        <w:pBdr>
          <w:bottom w:val="single" w:sz="14" w:space="1" w:color="3F78A8"/>
        </w:pBdr>
      </w:pPr>
    </w:p>
    <w:tbl>
      <w:tblPr>
        <w:tblW w:type="auto" w:w="0"/>
        <w:jc w:val="center"/>
        <w:tblLayout w:type="fixed"/>
        <w:tblLook w:firstColumn="1" w:firstRow="1" w:lastColumn="0" w:lastRow="0" w:noHBand="0" w:noVBand="1" w:val="04A0"/>
      </w:tblPr>
      <w:tblGrid>
        <w:gridCol w:w="10224"/>
      </w:tblGrid>
      <w:tr>
        <w:tc>
          <w:tcPr>
            <w:tcW w:type="dxa" w:w="10368"/>
            <w:shd w:fill="25313C"/>
            <w:tcBorders>
              <w:top w:val="single" w:sz="10" w:color="25313C"/>
              <w:left w:val="single" w:sz="18" w:color="25313C"/>
              <w:bottom w:val="single" w:sz="10" w:color="25313C"/>
              <w:right w:val="single" w:sz="10" w:color="25313C"/>
            </w:tcBorders>
            <w:tcMar>
              <w:top w:w="145" w:type="dxa"/>
              <w:start w:w="180" w:type="dxa"/>
              <w:bottom w:w="145" w:type="dxa"/>
              <w:end w:w="180" w:type="dxa"/>
            </w:tcMar>
          </w:tcPr>
          <w:p>
            <w:pPr>
              <w:keepNext w:val="0"/>
              <w:keepLines/>
              <w:spacing w:before="0" w:after="40" w:line="240" w:lineRule="auto"/>
            </w:pPr>
            <w:r>
              <w:rPr>
                <w:rFonts w:ascii="Carlito" w:hAnsi="Carlito" w:eastAsia="Carlito"/>
                <w:b/>
                <w:color w:val="B9D3E7"/>
                <w:sz w:val="16"/>
                <w:caps/>
              </w:rPr>
              <w:t>GOVERNING FINDING</w:t>
            </w:r>
          </w:p>
          <w:p>
            <w:pPr>
              <w:keepNext w:val="0"/>
              <w:keepLines/>
              <w:spacing w:before="0" w:after="0" w:line="259" w:lineRule="auto"/>
            </w:pPr>
            <w:r>
              <w:rPr>
                <w:rFonts w:ascii="Carlito" w:hAnsi="Carlito" w:eastAsia="Carlito"/>
                <w:b/>
                <w:color w:val="FFFFFF"/>
                <w:sz w:val="21"/>
              </w:rPr>
              <w:t>The first failure was fabrication. The governing failure was promotion.</w:t>
            </w:r>
          </w:p>
        </w:tc>
      </w:tr>
    </w:tbl>
    <w:p>
      <w:pPr>
        <w:keepNext w:val="0"/>
        <w:keepLines w:val="0"/>
        <w:spacing w:before="0" w:after="160" w:line="240" w:lineRule="auto"/>
      </w:pPr>
    </w:p>
    <w:p>
      <w:pPr>
        <w:keepNext w:val="0"/>
        <w:keepLines/>
        <w:spacing w:before="0" w:after="160" w:line="269" w:lineRule="auto"/>
      </w:pPr>
      <w:r>
        <w:rPr>
          <w:rFonts w:ascii="Carlito" w:hAnsi="Carlito" w:eastAsia="Carlito"/>
          <w:i w:val="0"/>
          <w:color w:val="1C1F22"/>
          <w:sz w:val="22"/>
        </w:rPr>
        <w:t>This case is often described as a hallucination failure. The published record supports a larger finding: unsupported material acquired institutional authority through a sequence of preventable transfers, then remained active after multiple reasons to stop.</w:t>
      </w:r>
    </w:p>
    <w:tbl>
      <w:tblPr>
        <w:tblW w:type="auto" w:w="0"/>
        <w:jc w:val="center"/>
        <w:tblLayout w:type="fixed"/>
        <w:tblLook w:firstColumn="1" w:firstRow="1" w:lastColumn="0" w:lastRow="0" w:noHBand="0" w:noVBand="1" w:val="04A0"/>
      </w:tblPr>
      <w:tblGrid>
        <w:gridCol w:w="5184"/>
        <w:gridCol w:w="5184"/>
      </w:tblGrid>
      <w:tr>
        <w:trPr>
          <w:cantSplit/>
        </w:trPr>
        <w:tc>
          <w:tcPr>
            <w:tcW w:type="dxa" w:w="2102"/>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GOVERNING QUESTION</w:t>
            </w:r>
          </w:p>
        </w:tc>
        <w:tc>
          <w:tcPr>
            <w:tcW w:type="dxa" w:w="8122"/>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9"/>
              </w:rPr>
              <w:t>How did AI-generated, nonexistent case law acquire the status of legal authority, and why did later warnings fail to arrest that transfer?</w:t>
            </w:r>
          </w:p>
        </w:tc>
      </w:tr>
      <w:tr>
        <w:trPr>
          <w:cantSplit/>
        </w:trPr>
        <w:tc>
          <w:tcPr>
            <w:tcW w:type="dxa" w:w="2102"/>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SOURCE RECORD</w:t>
            </w:r>
          </w:p>
        </w:tc>
        <w:tc>
          <w:tcPr>
            <w:tcW w:type="dxa" w:w="8122"/>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9"/>
              </w:rPr>
              <w:t>Mata v. Avianca, Inc., 678 F. Supp. 3d 443 (S.D.N.Y. 2023), ECF No. 54, Opinion and Order on Sanctions, filed June 22, 2023.</w:t>
            </w:r>
          </w:p>
        </w:tc>
      </w:tr>
      <w:tr>
        <w:trPr>
          <w:cantSplit/>
        </w:trPr>
        <w:tc>
          <w:tcPr>
            <w:tcW w:type="dxa" w:w="2102"/>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ANALYTICAL OBJECT</w:t>
            </w:r>
          </w:p>
        </w:tc>
        <w:tc>
          <w:tcPr>
            <w:tcW w:type="dxa" w:w="8122"/>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9"/>
              </w:rPr>
              <w:t>The decision path from generated text to filed authority, continued advocacy, and corrective failure.</w:t>
            </w:r>
          </w:p>
        </w:tc>
      </w:tr>
      <w:tr>
        <w:trPr>
          <w:cantSplit/>
        </w:trPr>
        <w:tc>
          <w:tcPr>
            <w:tcW w:type="dxa" w:w="2102"/>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BOUNDED LIMIT</w:t>
            </w:r>
          </w:p>
        </w:tc>
        <w:tc>
          <w:tcPr>
            <w:tcW w:type="dxa" w:w="8122"/>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9"/>
              </w:rPr>
              <w:t>This dossier reconstructs the Court's published findings. It does not infer unrecorded motives, retry the sanctions matter, or offer legal advice.</w:t>
            </w:r>
          </w:p>
        </w:tc>
      </w:tr>
    </w:tbl>
    <w:p>
      <w:pPr>
        <w:keepNext/>
        <w:keepLines w:val="0"/>
        <w:spacing w:before="0" w:after="60" w:line="240" w:lineRule="auto"/>
      </w:pPr>
      <w:r>
        <w:rPr>
          <w:rFonts w:ascii="Carlito" w:hAnsi="Carlito" w:eastAsia="Carlito"/>
          <w:b/>
          <w:color w:val="58616A"/>
          <w:sz w:val="17"/>
          <w:caps/>
        </w:rPr>
        <w:t>EXECUTIVE FINDING</w:t>
      </w:r>
    </w:p>
    <w:p>
      <w:pPr>
        <w:keepNext w:val="0"/>
        <w:keepLines w:val="0"/>
        <w:spacing w:before="0" w:after="100" w:line="259" w:lineRule="auto"/>
      </w:pPr>
      <w:r>
        <w:rPr>
          <w:rFonts w:ascii="Carlito" w:hAnsi="Carlito" w:eastAsia="Carlito"/>
          <w:i w:val="0"/>
          <w:color w:val="1C1F22"/>
          <w:sz w:val="20"/>
        </w:rPr>
        <w:t>Generated text was treated as research; fabricated case names were treated as authorities; citation form supplied the appearance of legitimacy; professional trust substituted for source inquiry; signatures and sworn filings promoted the material again; explicit warnings did not demote the claims; and the original filing was never withdrawn or corrected.</w:t>
      </w:r>
    </w:p>
    <w:p>
      <w:pPr>
        <w:keepNext w:val="0"/>
        <w:keepLines w:val="0"/>
        <w:spacing w:before="0" w:after="100" w:line="259" w:lineRule="auto"/>
      </w:pPr>
      <w:r>
        <w:rPr>
          <w:rFonts w:ascii="Carlito" w:hAnsi="Carlito" w:eastAsia="Carlito"/>
          <w:i w:val="0"/>
          <w:color w:val="1C1F22"/>
          <w:sz w:val="20"/>
        </w:rPr>
        <w:t>The record therefore shows not one hallucination, but a chain by which unsupported assertions repeatedly acquired more authority than the evidence beneath them. The Method's constitutional rule applies directly: no conclusion may exceed what the record is entitled to establish.</w:t>
      </w:r>
    </w:p>
    <w:p>
      <w:pPr>
        <w:keepNext w:val="0"/>
        <w:keepLines w:val="0"/>
        <w:spacing w:before="0" w:after="60" w:line="259" w:lineRule="auto"/>
      </w:pPr>
      <w:r>
        <w:rPr>
          <w:rFonts w:ascii="Carlito" w:hAnsi="Carlito" w:eastAsia="Carlito"/>
          <w:i w:val="0"/>
          <w:color w:val="1C1F22"/>
          <w:sz w:val="20"/>
        </w:rPr>
        <w:t>The terminal structural condition was a temporary correctness exemption: after the sources failed, the filed propositions continued to exercise institutional force until the Court intervened. The exemption did not arise because the claims became true. It arose because professional role, filing status, and continued advocacy allowed them to remain operative without restored proof.</w:t>
      </w:r>
    </w:p>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Opinion at 1-2; Findings of Fact (FF) ¶¶ 5-15, 18-24, 37-51; Conclusions of Law (CL) ¶¶ 10, 21, 23-24.</w:t>
      </w:r>
    </w:p>
    <w:p>
      <w:r>
        <w:br w:type="page"/>
      </w:r>
    </w:p>
    <w:p>
      <w:pPr>
        <w:keepNext/>
        <w:keepLines w:val="0"/>
        <w:spacing w:before="0" w:after="80" w:line="240" w:lineRule="auto"/>
      </w:pPr>
      <w:r>
        <w:rPr>
          <w:rFonts w:ascii="Carlito" w:hAnsi="Carlito" w:eastAsia="Carlito"/>
          <w:b/>
          <w:color w:val="58616A"/>
          <w:sz w:val="17"/>
          <w:caps/>
        </w:rPr>
        <w:t>I. AUDIT CONFIGURATION</w:t>
      </w:r>
    </w:p>
    <w:p>
      <w:pPr>
        <w:keepNext/>
        <w:keepLines/>
        <w:spacing w:before="0" w:after="40" w:line="240" w:lineRule="auto"/>
      </w:pPr>
      <w:r>
        <w:rPr>
          <w:rFonts w:ascii="Carlito" w:hAnsi="Carlito" w:eastAsia="Carlito"/>
          <w:b/>
          <w:color w:val="1C1F22"/>
          <w:sz w:val="48"/>
        </w:rPr>
        <w:t>The Bounded Reconstruction</w:t>
      </w:r>
    </w:p>
    <w:p>
      <w:pPr>
        <w:keepNext w:val="0"/>
        <w:keepLines w:val="0"/>
        <w:spacing w:before="20" w:after="140" w:line="240" w:lineRule="auto"/>
        <w:pBdr>
          <w:bottom w:val="single" w:sz="12" w:space="1" w:color="3F78A8"/>
        </w:pBdr>
      </w:pPr>
    </w:p>
    <w:p>
      <w:pPr>
        <w:keepNext w:val="0"/>
        <w:keepLines w:val="0"/>
        <w:spacing w:before="0" w:after="140" w:line="259" w:lineRule="auto"/>
      </w:pPr>
      <w:r>
        <w:rPr>
          <w:rFonts w:ascii="Carlito" w:hAnsi="Carlito" w:eastAsia="Carlito"/>
          <w:i w:val="0"/>
          <w:color w:val="1C1F22"/>
          <w:sz w:val="20"/>
        </w:rPr>
        <w:t>The dossier treats the sanctions opinion as a fixed public record. The Court's findings are not raw allegations inside this analysis; they are the adjudicated source material from which the decision path is reconstructed.</w:t>
      </w:r>
    </w:p>
    <w:p>
      <w:pPr>
        <w:keepNext/>
        <w:keepLines w:val="0"/>
        <w:spacing w:before="0" w:after="60" w:line="240" w:lineRule="auto"/>
      </w:pPr>
      <w:r>
        <w:rPr>
          <w:rFonts w:ascii="Carlito" w:hAnsi="Carlito" w:eastAsia="Carlito"/>
          <w:b/>
          <w:color w:val="58616A"/>
          <w:sz w:val="17"/>
          <w:caps/>
        </w:rPr>
        <w:t>BOUNDED-CORPUS DECLARATION</w:t>
      </w:r>
    </w:p>
    <w:tbl>
      <w:tblPr>
        <w:tblW w:type="auto" w:w="0"/>
        <w:jc w:val="center"/>
        <w:tblLayout w:type="fixed"/>
        <w:tblLook w:firstColumn="1" w:firstRow="1" w:lastColumn="0" w:lastRow="0" w:noHBand="0" w:noVBand="1" w:val="04A0"/>
      </w:tblPr>
      <w:tblGrid>
        <w:gridCol w:w="5184"/>
        <w:gridCol w:w="5184"/>
      </w:tblGrid>
      <w:tr>
        <w:trPr>
          <w:cantSplit/>
        </w:trPr>
        <w:tc>
          <w:tcPr>
            <w:tcW w:type="dxa" w:w="2088"/>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INCLUDED</w:t>
            </w:r>
          </w:p>
        </w:tc>
        <w:tc>
          <w:tcPr>
            <w:tcW w:type="dxa" w:w="8136"/>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43-page sanctions opinion, including the Court's findings of fact, conclusions of law, remedial order, and appended screenshots reproduced in the opinion.</w:t>
            </w:r>
          </w:p>
        </w:tc>
      </w:tr>
      <w:tr>
        <w:trPr>
          <w:cantSplit/>
        </w:trPr>
        <w:tc>
          <w:tcPr>
            <w:tcW w:type="dxa" w:w="2088"/>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EXCLUDED</w:t>
            </w:r>
          </w:p>
        </w:tc>
        <w:tc>
          <w:tcPr>
            <w:tcW w:type="dxa" w:w="8136"/>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Unpublished communications, private intent, post-order commentary, later ethics guidance, and any claim that cannot be located in the bounded record.</w:t>
            </w:r>
          </w:p>
        </w:tc>
      </w:tr>
      <w:tr>
        <w:trPr>
          <w:cantSplit/>
        </w:trPr>
        <w:tc>
          <w:tcPr>
            <w:tcW w:type="dxa" w:w="2088"/>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UNIT OF ANALYSIS</w:t>
            </w:r>
          </w:p>
        </w:tc>
        <w:tc>
          <w:tcPr>
            <w:tcW w:type="dxa" w:w="8136"/>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A material proposition and every operation that changed its status, authority, persistence, or consequence.</w:t>
            </w:r>
          </w:p>
        </w:tc>
      </w:tr>
      <w:tr>
        <w:trPr>
          <w:cantSplit/>
        </w:trPr>
        <w:tc>
          <w:tcPr>
            <w:tcW w:type="dxa" w:w="2088"/>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STOPPING RULE</w:t>
            </w:r>
          </w:p>
        </w:tc>
        <w:tc>
          <w:tcPr>
            <w:tcW w:type="dxa" w:w="8136"/>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When provenance or authority cannot be established, the proposition closes as NOT ESTABLISHED. Confidence, form, urgency, and prior reliance do not reopen it.</w:t>
            </w:r>
          </w:p>
        </w:tc>
      </w:tr>
    </w:tbl>
    <w:p>
      <w:pPr>
        <w:keepNext/>
        <w:keepLines w:val="0"/>
        <w:spacing w:before="0" w:after="60" w:line="240" w:lineRule="auto"/>
      </w:pPr>
      <w:r>
        <w:rPr>
          <w:rFonts w:ascii="Carlito" w:hAnsi="Carlito" w:eastAsia="Carlito"/>
          <w:b/>
          <w:color w:val="58616A"/>
          <w:sz w:val="17"/>
          <w:caps/>
        </w:rPr>
        <w:t>THE THREE-LAYER AUDIT STACK</w:t>
      </w:r>
    </w:p>
    <w:tbl>
      <w:tblPr>
        <w:tblW w:type="auto" w:w="0"/>
        <w:jc w:val="center"/>
        <w:tblLayout w:type="fixed"/>
        <w:tblLook w:firstColumn="1" w:firstRow="1" w:lastColumn="0" w:lastRow="0" w:noHBand="0" w:noVBand="1" w:val="04A0"/>
      </w:tblPr>
      <w:tblGrid>
        <w:gridCol w:w="5184"/>
        <w:gridCol w:w="5184"/>
      </w:tblGrid>
      <w:tr>
        <w:trPr>
          <w:tblHeader w:val="true"/>
        </w:trPr>
        <w:tc>
          <w:tcPr>
            <w:tcW w:type="dxa" w:w="223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Layer</w:t>
            </w:r>
          </w:p>
        </w:tc>
        <w:tc>
          <w:tcPr>
            <w:tcW w:type="dxa" w:w="799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Function</w:t>
            </w:r>
          </w:p>
        </w:tc>
      </w:tr>
      <w:tr>
        <w:trPr>
          <w:cantSplit/>
        </w:trPr>
        <w:tc>
          <w:tcPr>
            <w:tcW w:type="dxa" w:w="5184"/>
            <w:shd w:fill="EEF1F3"/>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1. EVIDENCE FORM</w:t>
            </w:r>
          </w:p>
        </w:tc>
        <w:tc>
          <w:tcPr>
            <w:tcW w:type="dxa" w:w="5184"/>
            <w:shd w:fill="EEF1F3"/>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What entered the workflow: generated prose, case caption, citation, excerpt, affidavit, testimony, order, or authenticated judicial opinion.</w:t>
            </w:r>
          </w:p>
        </w:tc>
      </w:tr>
      <w:tr>
        <w:trPr>
          <w:cantSplit/>
        </w:trPr>
        <w:tc>
          <w:tcPr>
            <w:tcW w:type="dxa" w:w="5184"/>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2. PROPOSITION TYPE</w:t>
            </w:r>
          </w:p>
        </w:tc>
        <w:tc>
          <w:tcPr>
            <w:tcW w:type="dxa" w:w="5184"/>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What the material was being used to establish: existence, provenance, legal support, access limitation, reasonable inquiry, or continued fitness for reliance.</w:t>
            </w:r>
          </w:p>
        </w:tc>
      </w:tr>
      <w:tr>
        <w:trPr>
          <w:cantSplit/>
        </w:trPr>
        <w:tc>
          <w:tcPr>
            <w:tcW w:type="dxa" w:w="5184"/>
            <w:shd w:fill="EEF1F3"/>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3. AUDIT FINDING</w:t>
            </w:r>
          </w:p>
        </w:tc>
        <w:tc>
          <w:tcPr>
            <w:tcW w:type="dxa" w:w="5184"/>
            <w:shd w:fill="EEF1F3"/>
            <w:tcMar>
              <w:top w:w="75" w:type="dxa"/>
              <w:start w:w="90" w:type="dxa"/>
              <w:bottom w:w="7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What the bounded record permits: SUPPORTED, NOT ESTABLISHED, CONTRADICTED, or STOP.</w:t>
            </w:r>
          </w:p>
        </w:tc>
      </w:tr>
    </w:tbl>
    <w:p>
      <w:pPr>
        <w:keepNext/>
        <w:keepLines w:val="0"/>
        <w:spacing w:before="0" w:after="60" w:line="240" w:lineRule="auto"/>
      </w:pPr>
      <w:r>
        <w:rPr>
          <w:rFonts w:ascii="Carlito" w:hAnsi="Carlito" w:eastAsia="Carlito"/>
          <w:b/>
          <w:color w:val="58616A"/>
          <w:sz w:val="17"/>
          <w:caps/>
        </w:rPr>
        <w:t>AUTHORITY GATE</w:t>
      </w:r>
    </w:p>
    <w:tbl>
      <w:tblPr>
        <w:tblW w:type="auto" w:w="0"/>
        <w:jc w:val="center"/>
        <w:tblLayout w:type="fixed"/>
        <w:tblLook w:firstColumn="1" w:firstRow="1" w:lastColumn="0" w:lastRow="0" w:noHBand="0" w:noVBand="1" w:val="04A0"/>
      </w:tblPr>
      <w:tblGrid>
        <w:gridCol w:w="10224"/>
      </w:tblGrid>
      <w:tr>
        <w:tc>
          <w:tcPr>
            <w:tcW w:type="dxa" w:w="10368"/>
            <w:shd w:fill="EAF1F6"/>
            <w:tcBorders>
              <w:top w:val="single" w:sz="10" w:color="3F78A8"/>
              <w:left w:val="single" w:sz="18" w:color="3F78A8"/>
              <w:bottom w:val="single" w:sz="10" w:color="3F78A8"/>
              <w:right w:val="single" w:sz="10" w:color="3F78A8"/>
            </w:tcBorders>
            <w:tcMar>
              <w:top w:w="105" w:type="dxa"/>
              <w:start w:w="180" w:type="dxa"/>
              <w:bottom w:w="105" w:type="dxa"/>
              <w:end w:w="180" w:type="dxa"/>
            </w:tcMar>
          </w:tcPr>
          <w:p>
            <w:pPr>
              <w:keepNext w:val="0"/>
              <w:keepLines/>
              <w:spacing w:before="0" w:after="40" w:line="240" w:lineRule="auto"/>
            </w:pPr>
            <w:r>
              <w:rPr>
                <w:rFonts w:ascii="Carlito" w:hAnsi="Carlito" w:eastAsia="Carlito"/>
                <w:b/>
                <w:color w:val="3F78A8"/>
                <w:sz w:val="16"/>
                <w:caps/>
              </w:rPr>
              <w:t>CONTROLLING DISTINCTION</w:t>
            </w:r>
          </w:p>
          <w:p>
            <w:pPr>
              <w:keepNext w:val="0"/>
              <w:keepLines/>
              <w:spacing w:before="0" w:after="0" w:line="259" w:lineRule="auto"/>
            </w:pPr>
            <w:r>
              <w:rPr>
                <w:rFonts w:ascii="Carlito" w:hAnsi="Carlito" w:eastAsia="Carlito"/>
                <w:b/>
                <w:color w:val="1C1F22"/>
                <w:sz w:val="21"/>
              </w:rPr>
              <w:t>Procedural authority establishes who may act. Epistemic authority establishes what the record proves. The first cannot be used as evidence of the second.</w:t>
            </w:r>
          </w:p>
        </w:tc>
      </w:tr>
    </w:tbl>
    <w:p>
      <w:pPr>
        <w:keepNext w:val="0"/>
        <w:keepLines w:val="0"/>
        <w:spacing w:before="0" w:after="100" w:line="240" w:lineRule="auto"/>
      </w:pPr>
    </w:p>
    <w:p>
      <w:pPr>
        <w:keepNext w:val="0"/>
        <w:keepLines w:val="0"/>
        <w:spacing w:before="0" w:after="80" w:line="259" w:lineRule="auto"/>
      </w:pPr>
      <w:r>
        <w:rPr>
          <w:rFonts w:ascii="Carlito" w:hAnsi="Carlito" w:eastAsia="Carlito"/>
          <w:i w:val="0"/>
          <w:color w:val="1C1F22"/>
          <w:sz w:val="20"/>
        </w:rPr>
        <w:t>In this record, an attorney possessed authority to sign and file. That authority promoted the document into the court process. It did not authenticate the cases, establish the quoted holdings, or supply the missing source objects. The audit tracks the point where authority to act was mistaken for authority to know.</w:t>
      </w:r>
    </w:p>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Opinion at 1; FF ¶¶ 5-6, 18-23; CL ¶ 23.</w:t>
      </w:r>
    </w:p>
    <w:p>
      <w:pPr>
        <w:keepNext/>
        <w:keepLines w:val="0"/>
        <w:spacing w:before="0" w:after="60" w:line="240" w:lineRule="auto"/>
      </w:pPr>
      <w:r>
        <w:rPr>
          <w:rFonts w:ascii="Carlito" w:hAnsi="Carlito" w:eastAsia="Carlito"/>
          <w:b/>
          <w:color w:val="58616A"/>
          <w:sz w:val="17"/>
          <w:caps/>
        </w:rPr>
        <w:t>PROTOCOL LIMITATION</w:t>
      </w:r>
    </w:p>
    <w:p>
      <w:pPr>
        <w:keepNext w:val="0"/>
        <w:keepLines w:val="0"/>
        <w:spacing w:before="0" w:after="0" w:line="259" w:lineRule="auto"/>
      </w:pPr>
      <w:r>
        <w:rPr>
          <w:rFonts w:ascii="Carlito" w:hAnsi="Carlito" w:eastAsia="Carlito"/>
          <w:i/>
          <w:color w:val="58616A"/>
          <w:sz w:val="19"/>
        </w:rPr>
        <w:t>This public demonstration is retrospective, not blind: the sanctions outcome is already part of the published record. A client diagnostic would freeze the packet, sequester outcome information where possible, classify propositions before reveal, and preserve the initial audit trail for adversarial review.</w:t>
      </w:r>
    </w:p>
    <w:p>
      <w:r>
        <w:br w:type="page"/>
      </w:r>
    </w:p>
    <w:p>
      <w:pPr>
        <w:keepNext/>
        <w:keepLines w:val="0"/>
        <w:spacing w:before="0" w:after="80" w:line="240" w:lineRule="auto"/>
      </w:pPr>
      <w:r>
        <w:rPr>
          <w:rFonts w:ascii="Carlito" w:hAnsi="Carlito" w:eastAsia="Carlito"/>
          <w:b/>
          <w:color w:val="58616A"/>
          <w:sz w:val="17"/>
          <w:caps/>
        </w:rPr>
        <w:t>II. THE RECORD</w:t>
      </w:r>
    </w:p>
    <w:p>
      <w:pPr>
        <w:keepNext/>
        <w:keepLines/>
        <w:spacing w:before="0" w:after="40" w:line="240" w:lineRule="auto"/>
      </w:pPr>
      <w:r>
        <w:rPr>
          <w:rFonts w:ascii="Carlito" w:hAnsi="Carlito" w:eastAsia="Carlito"/>
          <w:b/>
          <w:color w:val="1C1F22"/>
          <w:sz w:val="48"/>
        </w:rPr>
        <w:t>The Decision Path</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What entered, what changed status, and what remained active.</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29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Date</w:t>
            </w:r>
          </w:p>
        </w:tc>
        <w:tc>
          <w:tcPr>
            <w:tcW w:type="dxa" w:w="338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Record event</w:t>
            </w:r>
          </w:p>
        </w:tc>
        <w:tc>
          <w:tcPr>
            <w:tcW w:type="dxa" w:w="453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Decision-integrity significance</w:t>
            </w:r>
          </w:p>
        </w:tc>
        <w:tc>
          <w:tcPr>
            <w:tcW w:type="dxa" w:w="100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Pinpoint</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Jan. 13, 2023</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Avianca moves to dismiss the action as time-barred.</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Creates the consequential legal question the opposition must answer with authentic authority.</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3</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Mar. 1</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Opposition is filed with purported cases and quotations. The filing is signed under penalty of perjury.</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Generated material enters the court record as asserted legal authority under a professional signature.</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5-6</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Mar. 15</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Avianca states that most cited cases cannot be located and that located cases do not support the propositions asserted.</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External contradiction creates a mandatory demotion and verification trigger.</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7-8</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Apr. 11-12</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Court orders counsel to produce the cited decisions.</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Institutional authority directly tests whether the asserted source objects exist.</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13-15</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Apr. 25</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An affidavit submits excerpts presented as decisions, says one reported case cannot be located, and identifies no database.</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Absence of source is reclassified as incomplete access; unsupported material is promoted again.</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18-24</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May 4</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Court orders LoDuca to show cause regarding nonexistent cases and submitted fake opinions.</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matter changes from source verification to institutional integrity and sanctions exposure.</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42</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May 25-26</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first acknowledgement of ChatGPT-generated bogus cases appears; the Court expands the show-cause process.</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proposition category finally changes, but only after repeated warnings and court intervention.</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44-48</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June 8</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Respondents testify at the sanctions hearing and express remorse.</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workflow becomes reconstructable through sworn testimony and conflicting accounts.</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FF ¶ 50</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June 22</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Court imposes sanctions, notice requirements, and a $5,000 joint penalty.</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External authority revokes the temporary correctness exemption and attaches consequence.</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CL ¶¶ 27-34</w:t>
            </w:r>
          </w:p>
        </w:tc>
      </w:tr>
    </w:tbl>
    <w:p>
      <w:pPr>
        <w:keepNext w:val="0"/>
        <w:keepLines w:val="0"/>
        <w:spacing w:before="20" w:after="80" w:line="240" w:lineRule="auto"/>
      </w:pPr>
      <w:r>
        <w:rPr>
          <w:rFonts w:ascii="Carlito" w:hAnsi="Carlito" w:eastAsia="Carlito"/>
          <w:b/>
          <w:color w:val="3F78A8"/>
          <w:sz w:val="15"/>
        </w:rPr>
        <w:t xml:space="preserve">RECORD REFERENCE  </w:t>
      </w:r>
      <w:r>
        <w:rPr>
          <w:rFonts w:ascii="Carlito" w:hAnsi="Carlito" w:eastAsia="Carlito"/>
          <w:i/>
          <w:color w:val="58616A"/>
          <w:sz w:val="15"/>
        </w:rPr>
        <w:t>All event descriptions are drawn from ECF No. 54. The dossier does not independently infer facts beyond the Court's findings.</w:t>
      </w:r>
    </w:p>
    <w:p>
      <w:pPr>
        <w:keepNext/>
        <w:keepLines w:val="0"/>
        <w:spacing w:before="0" w:after="60" w:line="240" w:lineRule="auto"/>
      </w:pPr>
      <w:r>
        <w:rPr>
          <w:rFonts w:ascii="Carlito" w:hAnsi="Carlito" w:eastAsia="Carlito"/>
          <w:b/>
          <w:color w:val="58616A"/>
          <w:sz w:val="17"/>
          <w:caps/>
        </w:rPr>
        <w:t>THE TRANSFER CHAIN</w:t>
      </w:r>
    </w:p>
    <w:tbl>
      <w:tblPr>
        <w:tblW w:type="auto" w:w="0"/>
        <w:jc w:val="center"/>
        <w:tblLayout w:type="fixed"/>
        <w:tblLook w:firstColumn="1" w:firstRow="1" w:lastColumn="0" w:lastRow="0" w:noHBand="0" w:noVBand="1" w:val="04A0"/>
      </w:tblPr>
      <w:tblGrid>
        <w:gridCol w:w="1152"/>
        <w:gridCol w:w="1152"/>
        <w:gridCol w:w="1152"/>
        <w:gridCol w:w="1152"/>
        <w:gridCol w:w="1152"/>
        <w:gridCol w:w="1152"/>
        <w:gridCol w:w="1152"/>
        <w:gridCol w:w="1152"/>
        <w:gridCol w:w="1152"/>
      </w:tblGrid>
      <w:tr>
        <w:tc>
          <w:tcPr>
            <w:tcW w:type="dxa" w:w="1613"/>
            <w:tcMar>
              <w:top w:w="80" w:type="dxa"/>
              <w:start w:w="60" w:type="dxa"/>
              <w:bottom w:w="80" w:type="dxa"/>
              <w:end w:w="60" w:type="dxa"/>
            </w:tcMar>
            <w:shd w:fill="EEF1F3"/>
            <w:tcBorders>
              <w:top w:val="single" w:sz="6" w:color="D3D9DE"/>
              <w:left w:val="single" w:sz="6" w:color="D3D9DE"/>
              <w:bottom w:val="single" w:sz="6" w:color="D3D9DE"/>
              <w:right w:val="single" w:sz="6" w:color="D3D9DE"/>
            </w:tcBorders>
          </w:tcPr>
          <w:p>
            <w:pPr>
              <w:keepNext w:val="0"/>
              <w:keepLines/>
              <w:spacing w:before="0" w:after="0" w:line="240" w:lineRule="auto"/>
              <w:jc w:val="center"/>
            </w:pPr>
            <w:r>
              <w:rPr>
                <w:rFonts w:ascii="Carlito" w:hAnsi="Carlito" w:eastAsia="Carlito"/>
                <w:b/>
                <w:color w:val="1C1F22"/>
                <w:sz w:val="17"/>
              </w:rPr>
              <w:t>Generated</w:t>
              <w:br/>
            </w:r>
            <w:r>
              <w:rPr>
                <w:rFonts w:ascii="Carlito" w:hAnsi="Carlito" w:eastAsia="Carlito"/>
                <w:b/>
                <w:color w:val="1C1F22"/>
                <w:sz w:val="17"/>
              </w:rPr>
              <w:t>text</w:t>
            </w:r>
          </w:p>
        </w:tc>
        <w:tc>
          <w:tcPr>
            <w:tcW w:type="dxa" w:w="317"/>
            <w:tcMar>
              <w:top w:w="80" w:type="dxa"/>
              <w:start w:w="60" w:type="dxa"/>
              <w:bottom w:w="80" w:type="dxa"/>
              <w:end w:w="60" w:type="dxa"/>
            </w:tcMar>
          </w:tcPr>
          <w:p>
            <w:pPr>
              <w:keepNext w:val="0"/>
              <w:keepLines w:val="0"/>
              <w:spacing w:before="0" w:after="0" w:line="240" w:lineRule="auto"/>
              <w:jc w:val="center"/>
            </w:pPr>
            <w:r>
              <w:rPr>
                <w:rFonts w:ascii="Carlito" w:hAnsi="Carlito" w:eastAsia="Carlito"/>
                <w:b/>
                <w:color w:val="58616A"/>
                <w:sz w:val="28"/>
              </w:rPr>
              <w:t>→</w:t>
            </w:r>
          </w:p>
        </w:tc>
        <w:tc>
          <w:tcPr>
            <w:tcW w:type="dxa" w:w="1613"/>
            <w:tcMar>
              <w:top w:w="80" w:type="dxa"/>
              <w:start w:w="60" w:type="dxa"/>
              <w:bottom w:w="80" w:type="dxa"/>
              <w:end w:w="60" w:type="dxa"/>
            </w:tcMar>
            <w:shd w:fill="EEF1F3"/>
            <w:tcBorders>
              <w:top w:val="single" w:sz="6" w:color="D3D9DE"/>
              <w:left w:val="single" w:sz="6" w:color="D3D9DE"/>
              <w:bottom w:val="single" w:sz="6" w:color="D3D9DE"/>
              <w:right w:val="single" w:sz="6" w:color="D3D9DE"/>
            </w:tcBorders>
          </w:tcPr>
          <w:p>
            <w:pPr>
              <w:keepNext w:val="0"/>
              <w:keepLines/>
              <w:spacing w:before="0" w:after="0" w:line="240" w:lineRule="auto"/>
              <w:jc w:val="center"/>
            </w:pPr>
            <w:r>
              <w:rPr>
                <w:rFonts w:ascii="Carlito" w:hAnsi="Carlito" w:eastAsia="Carlito"/>
                <w:b/>
                <w:color w:val="1C1F22"/>
                <w:sz w:val="17"/>
              </w:rPr>
              <w:t>Research</w:t>
              <w:br/>
            </w:r>
            <w:r>
              <w:rPr>
                <w:rFonts w:ascii="Carlito" w:hAnsi="Carlito" w:eastAsia="Carlito"/>
                <w:b/>
                <w:color w:val="1C1F22"/>
                <w:sz w:val="17"/>
              </w:rPr>
              <w:t>result</w:t>
            </w:r>
          </w:p>
        </w:tc>
        <w:tc>
          <w:tcPr>
            <w:tcW w:type="dxa" w:w="317"/>
            <w:tcMar>
              <w:top w:w="80" w:type="dxa"/>
              <w:start w:w="60" w:type="dxa"/>
              <w:bottom w:w="80" w:type="dxa"/>
              <w:end w:w="60" w:type="dxa"/>
            </w:tcMar>
          </w:tcPr>
          <w:p>
            <w:pPr>
              <w:keepNext w:val="0"/>
              <w:keepLines w:val="0"/>
              <w:spacing w:before="0" w:after="0" w:line="240" w:lineRule="auto"/>
              <w:jc w:val="center"/>
            </w:pPr>
            <w:r>
              <w:rPr>
                <w:rFonts w:ascii="Carlito" w:hAnsi="Carlito" w:eastAsia="Carlito"/>
                <w:b/>
                <w:color w:val="58616A"/>
                <w:sz w:val="28"/>
              </w:rPr>
              <w:t>→</w:t>
            </w:r>
          </w:p>
        </w:tc>
        <w:tc>
          <w:tcPr>
            <w:tcW w:type="dxa" w:w="1613"/>
            <w:tcMar>
              <w:top w:w="80" w:type="dxa"/>
              <w:start w:w="60" w:type="dxa"/>
              <w:bottom w:w="80" w:type="dxa"/>
              <w:end w:w="60" w:type="dxa"/>
            </w:tcMar>
            <w:shd w:fill="EEF1F3"/>
            <w:tcBorders>
              <w:top w:val="single" w:sz="6" w:color="D3D9DE"/>
              <w:left w:val="single" w:sz="6" w:color="D3D9DE"/>
              <w:bottom w:val="single" w:sz="6" w:color="D3D9DE"/>
              <w:right w:val="single" w:sz="6" w:color="D3D9DE"/>
            </w:tcBorders>
          </w:tcPr>
          <w:p>
            <w:pPr>
              <w:keepNext w:val="0"/>
              <w:keepLines/>
              <w:spacing w:before="0" w:after="0" w:line="240" w:lineRule="auto"/>
              <w:jc w:val="center"/>
            </w:pPr>
            <w:r>
              <w:rPr>
                <w:rFonts w:ascii="Carlito" w:hAnsi="Carlito" w:eastAsia="Carlito"/>
                <w:b/>
                <w:color w:val="1C1F22"/>
                <w:sz w:val="17"/>
              </w:rPr>
              <w:t>Legal</w:t>
              <w:br/>
            </w:r>
            <w:r>
              <w:rPr>
                <w:rFonts w:ascii="Carlito" w:hAnsi="Carlito" w:eastAsia="Carlito"/>
                <w:b/>
                <w:color w:val="1C1F22"/>
                <w:sz w:val="17"/>
              </w:rPr>
              <w:t>authority</w:t>
            </w:r>
          </w:p>
        </w:tc>
        <w:tc>
          <w:tcPr>
            <w:tcW w:type="dxa" w:w="317"/>
            <w:tcMar>
              <w:top w:w="80" w:type="dxa"/>
              <w:start w:w="60" w:type="dxa"/>
              <w:bottom w:w="80" w:type="dxa"/>
              <w:end w:w="60" w:type="dxa"/>
            </w:tcMar>
          </w:tcPr>
          <w:p>
            <w:pPr>
              <w:keepNext w:val="0"/>
              <w:keepLines w:val="0"/>
              <w:spacing w:before="0" w:after="0" w:line="240" w:lineRule="auto"/>
              <w:jc w:val="center"/>
            </w:pPr>
            <w:r>
              <w:rPr>
                <w:rFonts w:ascii="Carlito" w:hAnsi="Carlito" w:eastAsia="Carlito"/>
                <w:b/>
                <w:color w:val="58616A"/>
                <w:sz w:val="28"/>
              </w:rPr>
              <w:t>→</w:t>
            </w:r>
          </w:p>
        </w:tc>
        <w:tc>
          <w:tcPr>
            <w:tcW w:type="dxa" w:w="1613"/>
            <w:tcMar>
              <w:top w:w="80" w:type="dxa"/>
              <w:start w:w="60" w:type="dxa"/>
              <w:bottom w:w="80" w:type="dxa"/>
              <w:end w:w="60" w:type="dxa"/>
            </w:tcMar>
            <w:shd w:fill="EAF1F6"/>
            <w:tcBorders>
              <w:top w:val="single" w:sz="6" w:color="D3D9DE"/>
              <w:left w:val="single" w:sz="6" w:color="D3D9DE"/>
              <w:bottom w:val="single" w:sz="6" w:color="D3D9DE"/>
              <w:right w:val="single" w:sz="6" w:color="D3D9DE"/>
            </w:tcBorders>
          </w:tcPr>
          <w:p>
            <w:pPr>
              <w:keepNext w:val="0"/>
              <w:keepLines/>
              <w:spacing w:before="0" w:after="0" w:line="240" w:lineRule="auto"/>
              <w:jc w:val="center"/>
            </w:pPr>
            <w:r>
              <w:rPr>
                <w:rFonts w:ascii="Carlito" w:hAnsi="Carlito" w:eastAsia="Carlito"/>
                <w:b/>
                <w:color w:val="1C1F22"/>
                <w:sz w:val="17"/>
              </w:rPr>
              <w:t>Filed</w:t>
              <w:br/>
            </w:r>
            <w:r>
              <w:rPr>
                <w:rFonts w:ascii="Carlito" w:hAnsi="Carlito" w:eastAsia="Carlito"/>
                <w:b/>
                <w:color w:val="1C1F22"/>
                <w:sz w:val="17"/>
              </w:rPr>
              <w:t>record</w:t>
            </w:r>
          </w:p>
        </w:tc>
        <w:tc>
          <w:tcPr>
            <w:tcW w:type="dxa" w:w="317"/>
            <w:tcMar>
              <w:top w:w="80" w:type="dxa"/>
              <w:start w:w="60" w:type="dxa"/>
              <w:bottom w:w="80" w:type="dxa"/>
              <w:end w:w="60" w:type="dxa"/>
            </w:tcMar>
          </w:tcPr>
          <w:p>
            <w:pPr>
              <w:keepNext w:val="0"/>
              <w:keepLines w:val="0"/>
              <w:spacing w:before="0" w:after="0" w:line="240" w:lineRule="auto"/>
              <w:jc w:val="center"/>
            </w:pPr>
            <w:r>
              <w:rPr>
                <w:rFonts w:ascii="Carlito" w:hAnsi="Carlito" w:eastAsia="Carlito"/>
                <w:b/>
                <w:color w:val="58616A"/>
                <w:sz w:val="28"/>
              </w:rPr>
              <w:t>→</w:t>
            </w:r>
          </w:p>
        </w:tc>
        <w:tc>
          <w:tcPr>
            <w:tcW w:type="dxa" w:w="1843"/>
            <w:tcMar>
              <w:top w:w="80" w:type="dxa"/>
              <w:start w:w="60" w:type="dxa"/>
              <w:bottom w:w="80" w:type="dxa"/>
              <w:end w:w="60" w:type="dxa"/>
            </w:tcMar>
            <w:shd w:fill="25313C"/>
            <w:tcBorders>
              <w:top w:val="single" w:sz="6" w:color="D3D9DE"/>
              <w:left w:val="single" w:sz="6" w:color="D3D9DE"/>
              <w:bottom w:val="single" w:sz="6" w:color="D3D9DE"/>
              <w:right w:val="single" w:sz="6" w:color="D3D9DE"/>
            </w:tcBorders>
          </w:tcPr>
          <w:p>
            <w:pPr>
              <w:keepNext w:val="0"/>
              <w:keepLines/>
              <w:spacing w:before="0" w:after="0" w:line="240" w:lineRule="auto"/>
              <w:jc w:val="center"/>
            </w:pPr>
            <w:r>
              <w:rPr>
                <w:rFonts w:ascii="Carlito" w:hAnsi="Carlito" w:eastAsia="Carlito"/>
                <w:b/>
                <w:color w:val="FFFFFF"/>
                <w:sz w:val="17"/>
              </w:rPr>
              <w:t>Decision-bearing</w:t>
              <w:br/>
            </w:r>
            <w:r>
              <w:rPr>
                <w:rFonts w:ascii="Carlito" w:hAnsi="Carlito" w:eastAsia="Carlito"/>
                <w:b/>
                <w:color w:val="FFFFFF"/>
                <w:sz w:val="17"/>
              </w:rPr>
              <w:t>claim</w:t>
            </w:r>
          </w:p>
        </w:tc>
      </w:tr>
    </w:tbl>
    <w:p>
      <w:pPr>
        <w:keepNext w:val="0"/>
        <w:keepLines w:val="0"/>
        <w:spacing w:before="120" w:after="0" w:line="259" w:lineRule="auto"/>
      </w:pPr>
      <w:r>
        <w:rPr>
          <w:rFonts w:ascii="Carlito" w:hAnsi="Carlito" w:eastAsia="Carlito"/>
          <w:b/>
          <w:color w:val="1C1F22"/>
          <w:sz w:val="20"/>
        </w:rPr>
        <w:t>The arrows are the product.</w:t>
      </w:r>
      <w:r>
        <w:rPr>
          <w:rFonts w:ascii="Carlito" w:hAnsi="Carlito" w:eastAsia="Carlito"/>
          <w:i w:val="0"/>
          <w:color w:val="1C1F22"/>
          <w:sz w:val="20"/>
        </w:rPr>
        <w:t xml:space="preserve"> A generic accuracy check asks whether the last box is correct. A decision-integrity audit reconstructs every promotion that allowed the last box to exist.</w:t>
      </w:r>
    </w:p>
    <w:p>
      <w:r>
        <w:br w:type="page"/>
      </w:r>
    </w:p>
    <w:p>
      <w:pPr>
        <w:keepNext/>
        <w:keepLines w:val="0"/>
        <w:spacing w:before="0" w:after="80" w:line="240" w:lineRule="auto"/>
      </w:pPr>
      <w:r>
        <w:rPr>
          <w:rFonts w:ascii="Carlito" w:hAnsi="Carlito" w:eastAsia="Carlito"/>
          <w:b/>
          <w:color w:val="58616A"/>
          <w:sz w:val="17"/>
          <w:caps/>
        </w:rPr>
        <w:t>III. PROPOSITION LEDGER</w:t>
      </w:r>
    </w:p>
    <w:p>
      <w:pPr>
        <w:keepNext/>
        <w:keepLines/>
        <w:spacing w:before="0" w:after="40" w:line="240" w:lineRule="auto"/>
      </w:pPr>
      <w:r>
        <w:rPr>
          <w:rFonts w:ascii="Carlito" w:hAnsi="Carlito" w:eastAsia="Carlito"/>
          <w:b/>
          <w:color w:val="1C1F22"/>
          <w:sz w:val="48"/>
        </w:rPr>
        <w:t>What the Workflow Claimed</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The audit separates the proposition from the form that carried it.</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691"/>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ID</w:t>
            </w:r>
          </w:p>
        </w:tc>
        <w:tc>
          <w:tcPr>
            <w:tcW w:type="dxa" w:w="309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Material proposition</w:t>
            </w:r>
          </w:p>
        </w:tc>
        <w:tc>
          <w:tcPr>
            <w:tcW w:type="dxa" w:w="1613"/>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Type</w:t>
            </w:r>
          </w:p>
        </w:tc>
        <w:tc>
          <w:tcPr>
            <w:tcW w:type="dxa" w:w="295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Evidence form at entry</w:t>
            </w:r>
          </w:p>
        </w:tc>
        <w:tc>
          <w:tcPr>
            <w:tcW w:type="dxa" w:w="194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Initial audit status</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P-01</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cited cases existed as authentic judicial decisions.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Existence / provenance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ChatGPT-generated captions, reporter citations, docket numbers, judicial names, and excerpts.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authenticated source object at entry.</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P-02</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cited cases supported tolling or related propositions under the Montreal Convention.</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Legal support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Generated summaries and quotations attributed to the purported cases.</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retrieved opinions matched to the propositions.</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P-03</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April 25 exhibits were partial versions of real decisions available through an online database.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Source access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Affidavit language and generated excerpts; no database identified.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Provenance remained absent.</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P-04</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Failure to locate the reported authorities was an access problem rather than evidence of nonexistence.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Interpretation of absence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Assumptions that cases might be unpublished, appealed, difficult to access, or incompletely available.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Alternative explanation asserted without source proof.</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P-05</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signatory had a sufficient basis to certify the filings as true and legally supported.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Reasonable inquiry / certification</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Professional signature, declaration, and sworn affidavit.</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Role and form supplied promotion; substantive source review was absent.</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P-06</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ChatGPT supplemented other meaningful legal research.</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Research provenance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May 25 affidavit language.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Later testimony established that ChatGPT was the substantive research.</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P-07</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March 1 opposition remained fit for court reliance after authenticity warnings entered the record.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Continued operative status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withdrawal, correction, or notice that the Court should cease reliance.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filing retained procedural force after its source basis failed.</w:t>
            </w:r>
          </w:p>
        </w:tc>
      </w:tr>
    </w:tbl>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FF ¶¶ 5-12, 18-24, 37-47, 51; CL ¶¶ 10, 21, 23-24.</w:t>
      </w:r>
    </w:p>
    <w:tbl>
      <w:tblPr>
        <w:tblW w:type="auto" w:w="0"/>
        <w:jc w:val="center"/>
        <w:tblLayout w:type="fixed"/>
        <w:tblLook w:firstColumn="1" w:firstRow="1" w:lastColumn="0" w:lastRow="0" w:noHBand="0" w:noVBand="1" w:val="04A0"/>
      </w:tblPr>
      <w:tblGrid>
        <w:gridCol w:w="10224"/>
      </w:tblGrid>
      <w:tr>
        <w:tc>
          <w:tcPr>
            <w:tcW w:type="dxa" w:w="10368"/>
            <w:shd w:fill="EAF1F6"/>
            <w:tcBorders>
              <w:top w:val="single" w:sz="10" w:color="3F78A8"/>
              <w:left w:val="single" w:sz="18" w:color="3F78A8"/>
              <w:bottom w:val="single" w:sz="10" w:color="3F78A8"/>
              <w:right w:val="single" w:sz="10" w:color="3F78A8"/>
            </w:tcBorders>
            <w:tcMar>
              <w:top w:w="100" w:type="dxa"/>
              <w:start w:w="180" w:type="dxa"/>
              <w:bottom w:w="100" w:type="dxa"/>
              <w:end w:w="180" w:type="dxa"/>
            </w:tcMar>
          </w:tcPr>
          <w:p>
            <w:pPr>
              <w:keepNext w:val="0"/>
              <w:keepLines/>
              <w:spacing w:before="0" w:after="40" w:line="240" w:lineRule="auto"/>
            </w:pPr>
            <w:r>
              <w:rPr>
                <w:rFonts w:ascii="Carlito" w:hAnsi="Carlito" w:eastAsia="Carlito"/>
                <w:b/>
                <w:color w:val="3F78A8"/>
                <w:sz w:val="16"/>
                <w:caps/>
              </w:rPr>
              <w:t>LEDGER RULE</w:t>
            </w:r>
          </w:p>
          <w:p>
            <w:pPr>
              <w:keepNext w:val="0"/>
              <w:keepLines/>
              <w:spacing w:before="0" w:after="0" w:line="259" w:lineRule="auto"/>
            </w:pPr>
            <w:r>
              <w:rPr>
                <w:rFonts w:ascii="Carlito" w:hAnsi="Carlito" w:eastAsia="Carlito"/>
                <w:b/>
                <w:color w:val="1C1F22"/>
                <w:sz w:val="21"/>
              </w:rPr>
              <w:t>A proposition does not inherit the authority of the document, person, or institution carrying it. Each proposition must retain a traceable source and a permitted level of authority.</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IV. STATUS CHANGES</w:t>
      </w:r>
    </w:p>
    <w:p>
      <w:pPr>
        <w:keepNext/>
        <w:keepLines/>
        <w:spacing w:before="0" w:after="40" w:line="240" w:lineRule="auto"/>
      </w:pPr>
      <w:r>
        <w:rPr>
          <w:rFonts w:ascii="Carlito" w:hAnsi="Carlito" w:eastAsia="Carlito"/>
          <w:b/>
          <w:color w:val="1C1F22"/>
          <w:sz w:val="48"/>
        </w:rPr>
        <w:t>How the Claims Survived Their Evidence</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Every warning should have reduced authority. The workflow repeatedly preserved or increased it.</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691"/>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ID</w:t>
            </w:r>
          </w:p>
        </w:tc>
        <w:tc>
          <w:tcPr>
            <w:tcW w:type="dxa" w:w="252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Promotion mechanism</w:t>
            </w:r>
          </w:p>
        </w:tc>
        <w:tc>
          <w:tcPr>
            <w:tcW w:type="dxa" w:w="338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Disqualifying warning</w:t>
            </w:r>
          </w:p>
        </w:tc>
        <w:tc>
          <w:tcPr>
            <w:tcW w:type="dxa" w:w="1325"/>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Final status</w:t>
            </w:r>
          </w:p>
        </w:tc>
        <w:tc>
          <w:tcPr>
            <w:tcW w:type="dxa" w:w="230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Bounded finding</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P-01</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Filed citation and quotation; later excerpts submitted as decisions.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Opponent and Court could not locate multiple cases; internal citations and dockets did not match reality.</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CONTRADICTED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Cases did not exist.</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P-02</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Used as legal authority in opposition to dismissal.</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Located real cases did not support the cited propositions; fake cases could not establish law.</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NOT ESTABLISHED</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authentic authority supported the claimed holdings.</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P-03</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Sworn affidavit preserved the status of excerpts as incomplete decisions.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database named; full texts absent; one reported case expressly could not be located.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STOP</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Excerpt form could not pass provenance or authority gates.</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P-04</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Access explanations kept the search open and prevented demotion.</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Known free retrieval tools failed; the opponent and Court also failed; facial defects accumulated.</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NOT ESTABLISHED</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Access difficulty was never established as the cause of absence.</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P-05</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Signature, filing, and oath promoted the material into institutional use.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signatory reviewed flow and grammar, not the cited authorities; no substantive inquiry occurred.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CONTRADICTED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record established absence of a reasonable source inquiry.</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P-06</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word supplement narrowed apparent dependence on ChatGPT.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Hearing testimony established ChatGPT was the only substantive research source.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CONTRADICTED</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Court found the description misleading.</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P-07</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opposition remained pending and available for reliance.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Multiple warnings, production orders, and later acknowledgement of fabrication.</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STOP</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filing should have been withdrawn or corrected; it was not.</w:t>
            </w:r>
          </w:p>
        </w:tc>
      </w:tr>
    </w:tbl>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FF ¶¶ 6-12, 18-24, 40-47, 51; CL ¶¶ 10, 21, 23-24.</w:t>
      </w:r>
    </w:p>
    <w:p>
      <w:pPr>
        <w:keepNext/>
        <w:keepLines w:val="0"/>
        <w:spacing w:before="0" w:after="60" w:line="240" w:lineRule="auto"/>
      </w:pPr>
      <w:r>
        <w:rPr>
          <w:rFonts w:ascii="Carlito" w:hAnsi="Carlito" w:eastAsia="Carlito"/>
          <w:b/>
          <w:color w:val="58616A"/>
          <w:sz w:val="17"/>
          <w:caps/>
        </w:rPr>
        <w:t>CORE RESULT</w:t>
      </w:r>
    </w:p>
    <w:p>
      <w:pPr>
        <w:keepNext w:val="0"/>
        <w:keepLines w:val="0"/>
        <w:spacing w:before="0" w:after="0" w:line="264" w:lineRule="auto"/>
      </w:pPr>
      <w:r>
        <w:rPr>
          <w:rFonts w:ascii="Carlito" w:hAnsi="Carlito" w:eastAsia="Carlito"/>
          <w:b/>
          <w:color w:val="1C1F22"/>
          <w:sz w:val="22"/>
        </w:rPr>
        <w:t>The propositions did not survive because the record supported them.</w:t>
      </w:r>
      <w:r>
        <w:rPr>
          <w:rFonts w:ascii="Carlito" w:hAnsi="Carlito" w:eastAsia="Carlito"/>
          <w:i w:val="0"/>
          <w:color w:val="1C1F22"/>
          <w:sz w:val="22"/>
        </w:rPr>
        <w:t xml:space="preserve"> They survived because each new institutional form - citation, signature, affidavit, exhibit, later advocacy - preserved authority that the source record had already failed to earn.</w:t>
      </w:r>
    </w:p>
    <w:p>
      <w:r>
        <w:br w:type="page"/>
      </w:r>
    </w:p>
    <w:p>
      <w:pPr>
        <w:keepNext/>
        <w:keepLines w:val="0"/>
        <w:spacing w:before="0" w:after="80" w:line="240" w:lineRule="auto"/>
      </w:pPr>
      <w:r>
        <w:rPr>
          <w:rFonts w:ascii="Carlito" w:hAnsi="Carlito" w:eastAsia="Carlito"/>
          <w:b/>
          <w:color w:val="58616A"/>
          <w:sz w:val="17"/>
          <w:caps/>
        </w:rPr>
        <w:t>V. AUTHORITY MAP</w:t>
      </w:r>
    </w:p>
    <w:p>
      <w:pPr>
        <w:keepNext/>
        <w:keepLines/>
        <w:spacing w:before="0" w:after="40" w:line="240" w:lineRule="auto"/>
      </w:pPr>
      <w:r>
        <w:rPr>
          <w:rFonts w:ascii="Carlito" w:hAnsi="Carlito" w:eastAsia="Carlito"/>
          <w:b/>
          <w:color w:val="1C1F22"/>
          <w:sz w:val="48"/>
        </w:rPr>
        <w:t>Where Jurisdiction Was Lost</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The same material changed status without acquiring new evidence.</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64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Stage</w:t>
            </w:r>
          </w:p>
        </w:tc>
        <w:tc>
          <w:tcPr>
            <w:tcW w:type="dxa" w:w="180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Carrier</w:t>
            </w:r>
          </w:p>
        </w:tc>
        <w:tc>
          <w:tcPr>
            <w:tcW w:type="dxa" w:w="194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Status acquired</w:t>
            </w:r>
          </w:p>
        </w:tc>
        <w:tc>
          <w:tcPr>
            <w:tcW w:type="dxa" w:w="208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Transfer operation</w:t>
            </w:r>
          </w:p>
        </w:tc>
        <w:tc>
          <w:tcPr>
            <w:tcW w:type="dxa" w:w="374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What changed - and what did not</w:t>
            </w:r>
          </w:p>
        </w:tc>
      </w:tr>
      <w:tr>
        <w:trPr>
          <w:cantSplit/>
        </w:trPr>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1</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Generated language</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Unverified synthesis</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Source substitution</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model output was used as research rather than as a lead requiring retrieval.</w:t>
            </w:r>
          </w:p>
        </w:tc>
      </w:tr>
      <w:tr>
        <w:trPr>
          <w:cantSplit/>
        </w:trPr>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2</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Case caption + reporter citation</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Apparent precedent</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Citation-form laundering</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Correct legal form supplied credibility without authentic law beneath it.</w:t>
            </w:r>
          </w:p>
        </w:tc>
      </w:tr>
      <w:tr>
        <w:trPr>
          <w:cantSplit/>
        </w:trPr>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3</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Colleague delivery</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Trusted work product</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Colleague-to-evidence transfer</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Longstanding confidence substituted for inquiry into source and method.</w:t>
            </w:r>
          </w:p>
        </w:tc>
      </w:tr>
      <w:tr>
        <w:trPr>
          <w:cantSplit/>
        </w:trPr>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4</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Attorney signature + declaration</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Certified court submission</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Signatory authority transfer</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signer's procedural authority promoted propositions he had not verified.</w:t>
            </w:r>
          </w:p>
        </w:tc>
      </w:tr>
      <w:tr>
        <w:trPr>
          <w:cantSplit/>
        </w:trPr>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5</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Sworn affidavit + exhibits</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Purported source production</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Excerpt promotion</w:t>
            </w:r>
          </w:p>
        </w:tc>
        <w:tc>
          <w:tcPr>
            <w:tcW w:type="dxa" w:w="2074"/>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Generated excerpts were treated as incomplete decisions rather than unauthenticated text.</w:t>
            </w:r>
          </w:p>
        </w:tc>
      </w:tr>
      <w:tr>
        <w:trPr>
          <w:cantSplit/>
        </w:trPr>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6</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 withdrawal after warning</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Continuing court-facing claim</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Later advocacy / correction failure</w:t>
            </w:r>
          </w:p>
        </w:tc>
        <w:tc>
          <w:tcPr>
            <w:tcW w:type="dxa" w:w="2074"/>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Silence preserved the filing's institutional force after the evidence failed.</w:t>
            </w:r>
          </w:p>
        </w:tc>
      </w:tr>
    </w:tbl>
    <w:p>
      <w:pPr>
        <w:keepNext/>
        <w:keepLines w:val="0"/>
        <w:spacing w:before="0" w:after="60" w:line="240" w:lineRule="auto"/>
      </w:pPr>
      <w:r>
        <w:rPr>
          <w:rFonts w:ascii="Carlito" w:hAnsi="Carlito" w:eastAsia="Carlito"/>
          <w:b/>
          <w:color w:val="58616A"/>
          <w:sz w:val="17"/>
          <w:caps/>
        </w:rPr>
        <w:t>AUTHORITY GATE RESULT</w:t>
      </w:r>
    </w:p>
    <w:tbl>
      <w:tblPr>
        <w:tblW w:type="auto" w:w="0"/>
        <w:jc w:val="center"/>
        <w:tblLayout w:type="fixed"/>
        <w:tblLook w:firstColumn="1" w:firstRow="1" w:lastColumn="0" w:lastRow="0" w:noHBand="0" w:noVBand="1" w:val="04A0"/>
      </w:tblPr>
      <w:tblGrid>
        <w:gridCol w:w="5184"/>
        <w:gridCol w:w="5184"/>
      </w:tblGrid>
      <w:tr>
        <w:trPr>
          <w:cantSplit/>
        </w:trPr>
        <w:tc>
          <w:tcPr>
            <w:tcW w:type="dxa" w:w="2189"/>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PROCEDURAL AUTHORITY</w:t>
            </w:r>
          </w:p>
        </w:tc>
        <w:tc>
          <w:tcPr>
            <w:tcW w:type="dxa" w:w="8035"/>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LoDuca was the attorney of record and could sign and file court papers.</w:t>
            </w:r>
          </w:p>
        </w:tc>
      </w:tr>
      <w:tr>
        <w:trPr>
          <w:cantSplit/>
        </w:trPr>
        <w:tc>
          <w:tcPr>
            <w:tcW w:type="dxa" w:w="218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EPISTEMIC AUTHORITY</w:t>
            </w:r>
          </w:p>
        </w:tc>
        <w:tc>
          <w:tcPr>
            <w:tcW w:type="dxa" w:w="8035"/>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cited judicial opinions had to exist, be retrievable, and support the propositions attributed to them.</w:t>
            </w:r>
          </w:p>
        </w:tc>
      </w:tr>
      <w:tr>
        <w:trPr>
          <w:cantSplit/>
        </w:trPr>
        <w:tc>
          <w:tcPr>
            <w:tcW w:type="dxa" w:w="2189"/>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UNAUTHORIZED TRANSFER</w:t>
            </w:r>
          </w:p>
        </w:tc>
        <w:tc>
          <w:tcPr>
            <w:tcW w:type="dxa" w:w="8035"/>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professional authority of the signer and the institutional status of a filed paper were allowed to stand in for source authentication.</w:t>
            </w:r>
          </w:p>
        </w:tc>
      </w:tr>
      <w:tr>
        <w:trPr>
          <w:cantSplit/>
        </w:trPr>
        <w:tc>
          <w:tcPr>
            <w:tcW w:type="dxa" w:w="218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REQUIRED CORRECTION</w:t>
            </w:r>
          </w:p>
        </w:tc>
        <w:tc>
          <w:tcPr>
            <w:tcW w:type="dxa" w:w="8035"/>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Once the source basis failed, the filing had to be demoted, withdrawn, corrected, and preserved as part of the audit trail.</w:t>
            </w:r>
          </w:p>
        </w:tc>
      </w:tr>
    </w:tbl>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Opinion at 1; FF ¶¶ 5-6, 18-24, 40-41, 51; CL ¶¶ 10, 23-24.</w:t>
      </w:r>
    </w:p>
    <w:tbl>
      <w:tblPr>
        <w:tblW w:type="auto" w:w="0"/>
        <w:jc w:val="center"/>
        <w:tblLayout w:type="fixed"/>
        <w:tblLook w:firstColumn="1" w:firstRow="1" w:lastColumn="0" w:lastRow="0" w:noHBand="0" w:noVBand="1" w:val="04A0"/>
      </w:tblPr>
      <w:tblGrid>
        <w:gridCol w:w="10224"/>
      </w:tblGrid>
      <w:tr>
        <w:tc>
          <w:tcPr>
            <w:tcW w:type="dxa" w:w="10368"/>
            <w:shd w:fill="25313C"/>
            <w:tcBorders>
              <w:top w:val="single" w:sz="10" w:color="25313C"/>
              <w:left w:val="single" w:sz="18" w:color="25313C"/>
              <w:bottom w:val="single" w:sz="10" w:color="25313C"/>
              <w:right w:val="single" w:sz="10" w:color="25313C"/>
            </w:tcBorders>
            <w:tcMar>
              <w:top w:w="120" w:type="dxa"/>
              <w:start w:w="180" w:type="dxa"/>
              <w:bottom w:w="120" w:type="dxa"/>
              <w:end w:w="180" w:type="dxa"/>
            </w:tcMar>
          </w:tcPr>
          <w:p>
            <w:pPr>
              <w:keepNext w:val="0"/>
              <w:keepLines/>
              <w:spacing w:before="0" w:after="40" w:line="240" w:lineRule="auto"/>
            </w:pPr>
            <w:r>
              <w:rPr>
                <w:rFonts w:ascii="Carlito" w:hAnsi="Carlito" w:eastAsia="Carlito"/>
                <w:b/>
                <w:color w:val="B9D3E7"/>
                <w:sz w:val="16"/>
                <w:caps/>
              </w:rPr>
              <w:t>THE JURISDICTIONAL FAILURE</w:t>
            </w:r>
          </w:p>
          <w:p>
            <w:pPr>
              <w:keepNext w:val="0"/>
              <w:keepLines/>
              <w:spacing w:before="0" w:after="0" w:line="259" w:lineRule="auto"/>
            </w:pPr>
            <w:r>
              <w:rPr>
                <w:rFonts w:ascii="Carlito" w:hAnsi="Carlito" w:eastAsia="Carlito"/>
                <w:b/>
                <w:color w:val="FFFFFF"/>
                <w:sz w:val="21"/>
              </w:rPr>
              <w:t>The workflow possessed authority to submit a proposition. It did not possess authority to treat the proposition as established. The missing step was never administrative; it was epistemic.</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VI. WARNING ANALYSIS</w:t>
      </w:r>
    </w:p>
    <w:p>
      <w:pPr>
        <w:keepNext/>
        <w:keepLines/>
        <w:spacing w:before="0" w:after="40" w:line="240" w:lineRule="auto"/>
      </w:pPr>
      <w:r>
        <w:rPr>
          <w:rFonts w:ascii="Carlito" w:hAnsi="Carlito" w:eastAsia="Carlito"/>
          <w:b/>
          <w:color w:val="1C1F22"/>
          <w:sz w:val="48"/>
        </w:rPr>
        <w:t>Why the Workflow Did Not Stop</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A warning has no protective value unless it changes the proposition's status.</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151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Signal</w:t>
            </w:r>
          </w:p>
        </w:tc>
        <w:tc>
          <w:tcPr>
            <w:tcW w:type="dxa" w:w="223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What the record supplied</w:t>
            </w:r>
          </w:p>
        </w:tc>
        <w:tc>
          <w:tcPr>
            <w:tcW w:type="dxa" w:w="237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Required status conversion</w:t>
            </w:r>
          </w:p>
        </w:tc>
        <w:tc>
          <w:tcPr>
            <w:tcW w:type="dxa" w:w="252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Observed response</w:t>
            </w:r>
          </w:p>
        </w:tc>
        <w:tc>
          <w:tcPr>
            <w:tcW w:type="dxa" w:w="158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4"/>
              </w:rPr>
              <w:t>Audit classification</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Mar. 15 adversary brief</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Seven authorities could not be found; located cases did not support the propositions.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Demote disputed authorities; retrieve sources; notify signatory; suspend reliance.</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withdrawal or explanation. One signatory did not read the submission.</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Warning non-conversion</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Known retrieval failure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Schwartz entered at least one reported citation and could not locate Varghese.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Classify as NOT ESTABLISHED; stop citation and quotation.</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case was still cited or later submitted without disclosure of the failure.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Conscious avoidance trigger</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Apr. 11-12 court orders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Court required production of the actual cited decisions.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Authority Gate becomes mandatory; full authenticated opinions required.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Extension sought; excerpts later submitted instead of full decisions.</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Burden evasion / excerpt promotion</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Apr. 25 affidavit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One reported case could not be located; database unnamed; exhibits incomplete and facially defective.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STOP; disclose provenance failure; withdraw or correct the March 1 filing.</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affidavit preserved the material as partial authority.</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Access reclassification</w:t>
            </w:r>
          </w:p>
        </w:tc>
      </w:tr>
      <w:tr>
        <w:trPr>
          <w:cantSplit/>
        </w:trPr>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May 4 show-cause order</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Court identified nonexistent cases and fake opinions as potential sanctionable conduct.</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Immediate correction, notice, preservation, and complete account.</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first acknowledgement followed on May 25; accounts later conflicted.</w:t>
            </w:r>
          </w:p>
        </w:tc>
        <w:tc>
          <w:tcPr>
            <w:tcW w:type="dxa" w:w="2074"/>
            <w:shd w:fill="EEF1F3"/>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Delayed correction</w:t>
            </w:r>
          </w:p>
        </w:tc>
      </w:tr>
      <w:tr>
        <w:trPr>
          <w:cantSplit/>
        </w:trPr>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4"/>
              </w:rPr>
              <w:t>Post-acknowledgement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The record established bogus cases generated by ChatGPT.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Withdraw the March 1 opposition and advise the Court not to rely on it.</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No Respondent sought withdrawal or gave that notice.</w:t>
            </w:r>
          </w:p>
        </w:tc>
        <w:tc>
          <w:tcPr>
            <w:tcW w:type="dxa" w:w="2074"/>
            <w:tcMar>
              <w:top w:w="46" w:type="dxa"/>
              <w:start w:w="90" w:type="dxa"/>
              <w:bottom w:w="4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4"/>
              </w:rPr>
              <w:t>Correction failure</w:t>
            </w:r>
          </w:p>
        </w:tc>
      </w:tr>
    </w:tbl>
    <w:p>
      <w:pPr>
        <w:keepNext w:val="0"/>
        <w:keepLines w:val="0"/>
        <w:spacing w:before="20" w:after="100" w:line="240" w:lineRule="auto"/>
      </w:pPr>
      <w:r>
        <w:rPr>
          <w:rFonts w:ascii="Carlito" w:hAnsi="Carlito" w:eastAsia="Carlito"/>
          <w:b/>
          <w:color w:val="3F78A8"/>
          <w:sz w:val="15"/>
        </w:rPr>
        <w:t xml:space="preserve">RECORD REFERENCE  </w:t>
      </w:r>
      <w:r>
        <w:rPr>
          <w:rFonts w:ascii="Carlito" w:hAnsi="Carlito" w:eastAsia="Carlito"/>
          <w:i/>
          <w:color w:val="58616A"/>
          <w:sz w:val="15"/>
        </w:rPr>
        <w:t>FF ¶¶ 7-15, 18-24, 42-51; CL ¶¶ 10, 21, 23-24.</w:t>
      </w:r>
    </w:p>
    <w:p>
      <w:pPr>
        <w:keepNext/>
        <w:keepLines w:val="0"/>
        <w:spacing w:before="0" w:after="60" w:line="240" w:lineRule="auto"/>
      </w:pPr>
      <w:r>
        <w:rPr>
          <w:rFonts w:ascii="Carlito" w:hAnsi="Carlito" w:eastAsia="Carlito"/>
          <w:b/>
          <w:color w:val="58616A"/>
          <w:sz w:val="17"/>
          <w:caps/>
        </w:rPr>
        <w:t>THE BURDEN ERROR</w:t>
      </w:r>
    </w:p>
    <w:p>
      <w:pPr>
        <w:keepNext w:val="0"/>
        <w:keepLines w:val="0"/>
        <w:spacing w:before="0" w:after="100" w:line="259" w:lineRule="auto"/>
      </w:pPr>
      <w:r>
        <w:rPr>
          <w:rFonts w:ascii="Carlito" w:hAnsi="Carlito" w:eastAsia="Carlito"/>
          <w:i w:val="0"/>
          <w:color w:val="1C1F22"/>
          <w:sz w:val="21"/>
        </w:rPr>
        <w:t>Once a cited authority could not be produced, the burden belonged to the person asserting it. The opponent and Court were not required to prove that the case was fabricated. The source had to be produced. Failure to produce it closed the claim.</w:t>
      </w:r>
    </w:p>
    <w:tbl>
      <w:tblPr>
        <w:tblW w:type="auto" w:w="0"/>
        <w:jc w:val="center"/>
        <w:tblLayout w:type="fixed"/>
        <w:tblLook w:firstColumn="1" w:firstRow="1" w:lastColumn="0" w:lastRow="0" w:noHBand="0" w:noVBand="1" w:val="04A0"/>
      </w:tblPr>
      <w:tblGrid>
        <w:gridCol w:w="10224"/>
      </w:tblGrid>
      <w:tr>
        <w:tc>
          <w:tcPr>
            <w:tcW w:type="dxa" w:w="10368"/>
            <w:shd w:fill="EAF1F6"/>
            <w:tcBorders>
              <w:top w:val="single" w:sz="10" w:color="3F78A8"/>
              <w:left w:val="single" w:sz="18" w:color="3F78A8"/>
              <w:bottom w:val="single" w:sz="10" w:color="3F78A8"/>
              <w:right w:val="single" w:sz="10" w:color="3F78A8"/>
            </w:tcBorders>
            <w:tcMar>
              <w:top w:w="105" w:type="dxa"/>
              <w:start w:w="180" w:type="dxa"/>
              <w:bottom w:w="105" w:type="dxa"/>
              <w:end w:w="180" w:type="dxa"/>
            </w:tcMar>
          </w:tcPr>
          <w:p>
            <w:pPr>
              <w:keepNext w:val="0"/>
              <w:keepLines/>
              <w:spacing w:before="0" w:after="40" w:line="240" w:lineRule="auto"/>
            </w:pPr>
            <w:r>
              <w:rPr>
                <w:rFonts w:ascii="Carlito" w:hAnsi="Carlito" w:eastAsia="Carlito"/>
                <w:b/>
                <w:color w:val="3F78A8"/>
                <w:sz w:val="16"/>
                <w:caps/>
              </w:rPr>
              <w:t>BURDEN RETURN</w:t>
            </w:r>
          </w:p>
          <w:p>
            <w:pPr>
              <w:keepNext w:val="0"/>
              <w:keepLines/>
              <w:spacing w:before="0" w:after="0" w:line="259" w:lineRule="auto"/>
            </w:pPr>
            <w:r>
              <w:rPr>
                <w:rFonts w:ascii="Carlito" w:hAnsi="Carlito" w:eastAsia="Carlito"/>
                <w:b/>
                <w:color w:val="1C1F22"/>
                <w:sz w:val="21"/>
              </w:rPr>
              <w:t>The person or system asserting the proposition must produce the source. Absence of disproof is not proof of authority.</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VII. FAILURE TAXONOMY</w:t>
      </w:r>
    </w:p>
    <w:p>
      <w:pPr>
        <w:keepNext/>
        <w:keepLines/>
        <w:spacing w:before="0" w:after="40" w:line="240" w:lineRule="auto"/>
      </w:pPr>
      <w:r>
        <w:rPr>
          <w:rFonts w:ascii="Carlito" w:hAnsi="Carlito" w:eastAsia="Carlito"/>
          <w:b/>
          <w:color w:val="1C1F22"/>
          <w:sz w:val="48"/>
        </w:rPr>
        <w:t>The Promotion Failures</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Provisional classifications derived from the bounded record.</w:t>
      </w:r>
    </w:p>
    <w:tbl>
      <w:tblPr>
        <w:tblW w:type="auto" w:w="0"/>
        <w:jc w:val="center"/>
        <w:tblLayout w:type="fixed"/>
        <w:tblLook w:firstColumn="1" w:firstRow="1" w:lastColumn="0" w:lastRow="0" w:noHBand="0" w:noVBand="1" w:val="04A0"/>
      </w:tblPr>
      <w:tblGrid>
        <w:gridCol w:w="3456"/>
        <w:gridCol w:w="3456"/>
        <w:gridCol w:w="3456"/>
      </w:tblGrid>
      <w:tr>
        <w:trPr>
          <w:tblHeader w:val="true"/>
        </w:trPr>
        <w:tc>
          <w:tcPr>
            <w:tcW w:type="dxa" w:w="309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Failure type</w:t>
            </w:r>
          </w:p>
        </w:tc>
        <w:tc>
          <w:tcPr>
            <w:tcW w:type="dxa" w:w="1037"/>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Severity</w:t>
            </w:r>
          </w:p>
        </w:tc>
        <w:tc>
          <w:tcPr>
            <w:tcW w:type="dxa" w:w="6091"/>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Record function</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Source Substitution</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S1</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Generated output replaced the inspectable source object instead of functioning as an unverified lead.</w:t>
            </w:r>
          </w:p>
        </w:tc>
      </w:tr>
      <w:tr>
        <w:trPr>
          <w:cantSplit/>
        </w:trPr>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Citation-Form Laundering</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S2</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Case captions, reporter citations, docket numbers, judicial names, and legal prose supplied the appearance of authority.</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Colleague-to-Evidence Transfer</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S2</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Trust in a long-term colleague substituted for inquiry into the cited authorities and research process.</w:t>
            </w:r>
          </w:p>
        </w:tc>
      </w:tr>
      <w:tr>
        <w:trPr>
          <w:cantSplit/>
        </w:trPr>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Signatory Authority Transfer</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S3</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 professional signature and declaration promoted work the signer had not substantively verified.</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Warning Non-Conversion</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S4</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Opponent, Court, and internal retrieval failures did not demote the propositions.</w:t>
            </w:r>
          </w:p>
        </w:tc>
      </w:tr>
      <w:tr>
        <w:trPr>
          <w:cantSplit/>
        </w:trPr>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Access Reclassification</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S4</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Missing authority was treated as a database or access problem instead of a provenance failure.</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Excerpt Promotion</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S4</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Generated excerpts were submitted as incomplete versions of real decisions, preserving status without source authentication.</w:t>
            </w:r>
          </w:p>
        </w:tc>
      </w:tr>
      <w:tr>
        <w:trPr>
          <w:cantSplit/>
        </w:trPr>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Burden Inversion</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S4</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Others were effectively required to expose the defect while the asserting side did not produce the source.</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Contradictory Account Preservation</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S4</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Explanations about research provenance and the timing of doubts did not remain aligned.</w:t>
            </w:r>
          </w:p>
        </w:tc>
      </w:tr>
      <w:tr>
        <w:trPr>
          <w:cantSplit/>
        </w:trPr>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Correction Failure</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S5</w:t>
            </w:r>
          </w:p>
        </w:tc>
        <w:tc>
          <w:tcPr>
            <w:tcW w:type="dxa" w:w="3456"/>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original filing was not withdrawn and the Court was not told to cease reliance after the source failure was known.</w:t>
            </w:r>
          </w:p>
        </w:tc>
      </w:tr>
      <w:tr>
        <w:trPr>
          <w:cantSplit/>
        </w:trPr>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Correctness Exemption</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S5</w:t>
            </w:r>
          </w:p>
        </w:tc>
        <w:tc>
          <w:tcPr>
            <w:tcW w:type="dxa" w:w="3456"/>
            <w:shd w:fill="EEF1F3"/>
            <w:tcMar>
              <w:top w:w="45" w:type="dxa"/>
              <w:start w:w="90" w:type="dxa"/>
              <w:bottom w:w="45"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Unsupported propositions retained decision-bearing force after the record no longer entitled them to authority.</w:t>
            </w:r>
          </w:p>
        </w:tc>
      </w:tr>
    </w:tbl>
    <w:p>
      <w:pPr>
        <w:keepNext/>
        <w:keepLines w:val="0"/>
        <w:spacing w:before="0" w:after="60" w:line="240" w:lineRule="auto"/>
      </w:pPr>
      <w:r>
        <w:rPr>
          <w:rFonts w:ascii="Carlito" w:hAnsi="Carlito" w:eastAsia="Carlito"/>
          <w:b/>
          <w:color w:val="58616A"/>
          <w:sz w:val="17"/>
          <w:caps/>
        </w:rPr>
        <w:t>PROVISIONAL SEVERITY SCALE</w:t>
      </w:r>
    </w:p>
    <w:p>
      <w:pPr>
        <w:keepNext w:val="0"/>
        <w:keepLines w:val="0"/>
        <w:spacing w:before="0" w:after="80" w:line="259" w:lineRule="auto"/>
      </w:pPr>
      <w:r>
        <w:rPr>
          <w:rFonts w:ascii="Carlito" w:hAnsi="Carlito" w:eastAsia="Carlito"/>
          <w:i/>
          <w:color w:val="58616A"/>
          <w:sz w:val="17"/>
        </w:rPr>
        <w:t>S1 unsupported internal output; S2 unverified reliance or appearance of authority; S3 formal promotion into a consequential workflow; S4 persistence after a material warning; S5 continued institutional force after disqualifying evidence. This scale is defined for this demonstration and is not presented as an external certification standard.</w:t>
      </w:r>
    </w:p>
    <w:tbl>
      <w:tblPr>
        <w:tblW w:type="auto" w:w="0"/>
        <w:jc w:val="center"/>
        <w:tblLayout w:type="fixed"/>
        <w:tblLook w:firstColumn="1" w:firstRow="1" w:lastColumn="0" w:lastRow="0" w:noHBand="0" w:noVBand="1" w:val="04A0"/>
      </w:tblPr>
      <w:tblGrid>
        <w:gridCol w:w="10224"/>
      </w:tblGrid>
      <w:tr>
        <w:tc>
          <w:tcPr>
            <w:tcW w:type="dxa" w:w="10368"/>
            <w:shd w:fill="EAF1F6"/>
            <w:tcBorders>
              <w:top w:val="single" w:sz="10" w:color="3F78A8"/>
              <w:left w:val="single" w:sz="18" w:color="3F78A8"/>
              <w:bottom w:val="single" w:sz="10" w:color="3F78A8"/>
              <w:right w:val="single" w:sz="10" w:color="3F78A8"/>
            </w:tcBorders>
            <w:tcMar>
              <w:top w:w="100" w:type="dxa"/>
              <w:start w:w="180" w:type="dxa"/>
              <w:bottom w:w="100" w:type="dxa"/>
              <w:end w:w="180" w:type="dxa"/>
            </w:tcMar>
          </w:tcPr>
          <w:p>
            <w:pPr>
              <w:keepNext w:val="0"/>
              <w:keepLines/>
              <w:spacing w:before="0" w:after="40" w:line="240" w:lineRule="auto"/>
            </w:pPr>
            <w:r>
              <w:rPr>
                <w:rFonts w:ascii="Carlito" w:hAnsi="Carlito" w:eastAsia="Carlito"/>
                <w:b/>
                <w:color w:val="3F78A8"/>
                <w:sz w:val="16"/>
                <w:caps/>
              </w:rPr>
              <w:t>LIMITED FINDING</w:t>
            </w:r>
          </w:p>
          <w:p>
            <w:pPr>
              <w:keepNext w:val="0"/>
              <w:keepLines/>
              <w:spacing w:before="0" w:after="0" w:line="259" w:lineRule="auto"/>
            </w:pPr>
            <w:r>
              <w:rPr>
                <w:rFonts w:ascii="Carlito" w:hAnsi="Carlito" w:eastAsia="Carlito"/>
                <w:b/>
                <w:color w:val="1C1F22"/>
                <w:sz w:val="21"/>
              </w:rPr>
              <w:t>The bounded record establishes repeated promotion of unverified generated material after multiple authenticity warnings. It does not establish that every participant understood the material to be false at every stage, and the control finding does not require that motive claim.</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VIII. STRUCTURAL FINDING</w:t>
      </w:r>
    </w:p>
    <w:p>
      <w:pPr>
        <w:keepNext/>
        <w:keepLines/>
        <w:spacing w:before="0" w:after="40" w:line="240" w:lineRule="auto"/>
      </w:pPr>
      <w:r>
        <w:rPr>
          <w:rFonts w:ascii="Carlito" w:hAnsi="Carlito" w:eastAsia="Carlito"/>
          <w:b/>
          <w:color w:val="1C1F22"/>
          <w:sz w:val="48"/>
        </w:rPr>
        <w:t>The Correctness Exemption</w:t>
      </w:r>
    </w:p>
    <w:p>
      <w:pPr>
        <w:keepNext w:val="0"/>
        <w:keepLines w:val="0"/>
        <w:spacing w:before="20" w:after="140" w:line="240" w:lineRule="auto"/>
        <w:pBdr>
          <w:bottom w:val="single" w:sz="12" w:space="1" w:color="3F78A8"/>
        </w:pBdr>
      </w:pPr>
    </w:p>
    <w:p>
      <w:pPr>
        <w:keepNext w:val="0"/>
        <w:keepLines/>
        <w:spacing w:before="0" w:after="160" w:line="269" w:lineRule="auto"/>
      </w:pPr>
      <w:r>
        <w:rPr>
          <w:rFonts w:ascii="Carlito" w:hAnsi="Carlito" w:eastAsia="Carlito"/>
          <w:i w:val="0"/>
          <w:color w:val="1C1F22"/>
          <w:sz w:val="22"/>
        </w:rPr>
        <w:t>A correctness exemption exists when a proposition continues to exercise institutional force after its evidentiary basis has failed, while the actor or system carrying it is not required to restore the burden, demote the claim, or correct the consequence.</w:t>
      </w:r>
    </w:p>
    <w:p>
      <w:pPr>
        <w:keepNext/>
        <w:keepLines w:val="0"/>
        <w:spacing w:before="0" w:after="60" w:line="240" w:lineRule="auto"/>
      </w:pPr>
      <w:r>
        <w:rPr>
          <w:rFonts w:ascii="Carlito" w:hAnsi="Carlito" w:eastAsia="Carlito"/>
          <w:b/>
          <w:color w:val="58616A"/>
          <w:sz w:val="17"/>
          <w:caps/>
        </w:rPr>
        <w:t>REQUIRED ELEMENTS</w:t>
      </w:r>
    </w:p>
    <w:tbl>
      <w:tblPr>
        <w:tblW w:type="auto" w:w="0"/>
        <w:jc w:val="center"/>
        <w:tblLayout w:type="fixed"/>
        <w:tblLook w:firstColumn="1" w:firstRow="1" w:lastColumn="0" w:lastRow="0" w:noHBand="0" w:noVBand="1" w:val="04A0"/>
      </w:tblPr>
      <w:tblGrid>
        <w:gridCol w:w="5184"/>
        <w:gridCol w:w="5184"/>
      </w:tblGrid>
      <w:tr>
        <w:trPr>
          <w:tblHeader w:val="true"/>
        </w:trPr>
        <w:tc>
          <w:tcPr>
            <w:tcW w:type="dxa" w:w="237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Element</w:t>
            </w:r>
          </w:p>
        </w:tc>
        <w:tc>
          <w:tcPr>
            <w:tcW w:type="dxa" w:w="784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Test</w:t>
            </w:r>
          </w:p>
        </w:tc>
      </w:tr>
      <w:tr>
        <w:trPr>
          <w:cantSplit/>
        </w:trPr>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1. CONSEQUENCE</w:t>
            </w:r>
          </w:p>
        </w:tc>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proposition can influence a decision, record, right, obligation, or institutional response.</w:t>
            </w:r>
          </w:p>
        </w:tc>
      </w:tr>
      <w:tr>
        <w:trPr>
          <w:cantSplit/>
        </w:trPr>
        <w:tc>
          <w:tcPr>
            <w:tcW w:type="dxa" w:w="5184"/>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2. SOURCE FAILURE</w:t>
            </w:r>
          </w:p>
        </w:tc>
        <w:tc>
          <w:tcPr>
            <w:tcW w:type="dxa" w:w="5184"/>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claimed evidence cannot be authenticated, retrieved, or matched to the proposition.</w:t>
            </w:r>
          </w:p>
        </w:tc>
      </w:tr>
      <w:tr>
        <w:trPr>
          <w:cantSplit/>
        </w:trPr>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3. DISQUALIFYING WARNING</w:t>
            </w:r>
          </w:p>
        </w:tc>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workflow receives information that should reduce or suspend the proposition's authority.</w:t>
            </w:r>
          </w:p>
        </w:tc>
      </w:tr>
      <w:tr>
        <w:trPr>
          <w:cantSplit/>
        </w:trPr>
        <w:tc>
          <w:tcPr>
            <w:tcW w:type="dxa" w:w="5184"/>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4. NON-CONVERSION</w:t>
            </w:r>
          </w:p>
        </w:tc>
        <w:tc>
          <w:tcPr>
            <w:tcW w:type="dxa" w:w="5184"/>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proposition is not demoted, withdrawn, corrected, or closed.</w:t>
            </w:r>
          </w:p>
        </w:tc>
      </w:tr>
      <w:tr>
        <w:trPr>
          <w:cantSplit/>
        </w:trPr>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5. CONTINUED FORCE</w:t>
            </w:r>
          </w:p>
        </w:tc>
        <w:tc>
          <w:tcPr>
            <w:tcW w:type="dxa" w:w="5184"/>
            <w:shd w:fill="EEF1F3"/>
            <w:tcMar>
              <w:top w:w="70" w:type="dxa"/>
              <w:start w:w="90" w:type="dxa"/>
              <w:bottom w:w="70"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Role, procedure, form, money, silence, delay, or another power-bearing mechanism preserves the outcome.</w:t>
            </w:r>
          </w:p>
        </w:tc>
      </w:tr>
    </w:tbl>
    <w:p>
      <w:pPr>
        <w:keepNext/>
        <w:keepLines w:val="0"/>
        <w:spacing w:before="0" w:after="60" w:line="240" w:lineRule="auto"/>
      </w:pPr>
      <w:r>
        <w:rPr>
          <w:rFonts w:ascii="Carlito" w:hAnsi="Carlito" w:eastAsia="Carlito"/>
          <w:b/>
          <w:color w:val="58616A"/>
          <w:sz w:val="17"/>
          <w:caps/>
        </w:rPr>
        <w:t>APPLICATION TO THIS RECORD</w:t>
      </w:r>
    </w:p>
    <w:tbl>
      <w:tblPr>
        <w:tblW w:type="auto" w:w="0"/>
        <w:jc w:val="center"/>
        <w:tblLayout w:type="fixed"/>
        <w:tblLook w:firstColumn="1" w:firstRow="1" w:lastColumn="0" w:lastRow="0" w:noHBand="0" w:noVBand="1" w:val="04A0"/>
      </w:tblPr>
      <w:tblGrid>
        <w:gridCol w:w="5184"/>
        <w:gridCol w:w="5184"/>
      </w:tblGrid>
      <w:tr>
        <w:trPr>
          <w:cantSplit/>
        </w:trPr>
        <w:tc>
          <w:tcPr>
            <w:tcW w:type="dxa" w:w="2088"/>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CONSEQUENCE</w:t>
            </w:r>
          </w:p>
        </w:tc>
        <w:tc>
          <w:tcPr>
            <w:tcW w:type="dxa" w:w="8136"/>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authorities were offered to defeat a dispositive motion and entered the judicial record.</w:t>
            </w:r>
          </w:p>
        </w:tc>
      </w:tr>
      <w:tr>
        <w:trPr>
          <w:cantSplit/>
        </w:trPr>
        <w:tc>
          <w:tcPr>
            <w:tcW w:type="dxa" w:w="2088"/>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SOURCE FAILURE</w:t>
            </w:r>
          </w:p>
        </w:tc>
        <w:tc>
          <w:tcPr>
            <w:tcW w:type="dxa" w:w="8136"/>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Multiple authorities could not be located; submitted exhibits lacked authentic provenance.</w:t>
            </w:r>
          </w:p>
        </w:tc>
      </w:tr>
      <w:tr>
        <w:trPr>
          <w:cantSplit/>
        </w:trPr>
        <w:tc>
          <w:tcPr>
            <w:tcW w:type="dxa" w:w="2088"/>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WARNINGS</w:t>
            </w:r>
          </w:p>
        </w:tc>
        <w:tc>
          <w:tcPr>
            <w:tcW w:type="dxa" w:w="8136"/>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Avianca's brief, the Court's searches and production orders, internal retrieval failure, and facial defects.</w:t>
            </w:r>
          </w:p>
        </w:tc>
      </w:tr>
      <w:tr>
        <w:trPr>
          <w:cantSplit/>
        </w:trPr>
        <w:tc>
          <w:tcPr>
            <w:tcW w:type="dxa" w:w="2088"/>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NON-CONVERSION</w:t>
            </w:r>
          </w:p>
        </w:tc>
        <w:tc>
          <w:tcPr>
            <w:tcW w:type="dxa" w:w="8136"/>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claims were not timely demoted; excerpts were submitted; the original opposition was never withdrawn.</w:t>
            </w:r>
          </w:p>
        </w:tc>
      </w:tr>
      <w:tr>
        <w:trPr>
          <w:cantSplit/>
        </w:trPr>
        <w:tc>
          <w:tcPr>
            <w:tcW w:type="dxa" w:w="2088"/>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PRESERVING MECHANISM</w:t>
            </w:r>
          </w:p>
        </w:tc>
        <w:tc>
          <w:tcPr>
            <w:tcW w:type="dxa" w:w="8136"/>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Professional signature, oath, filed status, and later advocacy kept the propositions operative.</w:t>
            </w:r>
          </w:p>
        </w:tc>
      </w:tr>
      <w:tr>
        <w:trPr>
          <w:cantSplit/>
        </w:trPr>
        <w:tc>
          <w:tcPr>
            <w:tcW w:type="dxa" w:w="2088"/>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TERMINATION</w:t>
            </w:r>
          </w:p>
        </w:tc>
        <w:tc>
          <w:tcPr>
            <w:tcW w:type="dxa" w:w="8136"/>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The Court's sanctions process, notice requirements, and order attached consequence and revoked the exemption.</w:t>
            </w:r>
          </w:p>
        </w:tc>
      </w:tr>
    </w:tbl>
    <w:tbl>
      <w:tblPr>
        <w:tblW w:type="auto" w:w="0"/>
        <w:jc w:val="center"/>
        <w:tblLayout w:type="fixed"/>
        <w:tblLook w:firstColumn="1" w:firstRow="1" w:lastColumn="0" w:lastRow="0" w:noHBand="0" w:noVBand="1" w:val="04A0"/>
      </w:tblPr>
      <w:tblGrid>
        <w:gridCol w:w="10224"/>
      </w:tblGrid>
      <w:tr>
        <w:tc>
          <w:tcPr>
            <w:tcW w:type="dxa" w:w="10368"/>
            <w:shd w:fill="25313C"/>
            <w:tcBorders>
              <w:top w:val="single" w:sz="10" w:color="25313C"/>
              <w:left w:val="single" w:sz="18" w:color="25313C"/>
              <w:bottom w:val="single" w:sz="10" w:color="25313C"/>
              <w:right w:val="single" w:sz="10" w:color="25313C"/>
            </w:tcBorders>
            <w:tcMar>
              <w:top w:w="125" w:type="dxa"/>
              <w:start w:w="180" w:type="dxa"/>
              <w:bottom w:w="125" w:type="dxa"/>
              <w:end w:w="180" w:type="dxa"/>
            </w:tcMar>
          </w:tcPr>
          <w:p>
            <w:pPr>
              <w:keepNext w:val="0"/>
              <w:keepLines/>
              <w:spacing w:before="0" w:after="40" w:line="240" w:lineRule="auto"/>
            </w:pPr>
            <w:r>
              <w:rPr>
                <w:rFonts w:ascii="Carlito" w:hAnsi="Carlito" w:eastAsia="Carlito"/>
                <w:b/>
                <w:color w:val="B9D3E7"/>
                <w:sz w:val="16"/>
                <w:caps/>
              </w:rPr>
              <w:t>BOUNDED CONCLUSION</w:t>
            </w:r>
          </w:p>
          <w:p>
            <w:pPr>
              <w:keepNext w:val="0"/>
              <w:keepLines/>
              <w:spacing w:before="0" w:after="0" w:line="259" w:lineRule="auto"/>
            </w:pPr>
            <w:r>
              <w:rPr>
                <w:rFonts w:ascii="Carlito" w:hAnsi="Carlito" w:eastAsia="Carlito"/>
                <w:b/>
                <w:color w:val="FFFFFF"/>
                <w:sz w:val="21"/>
              </w:rPr>
              <w:t>From March 15 at the latest, the disputed propositions occupied a temporary correctness exemption: their source authority had failed, but their institutional force persisted until external judicial intervention.</w:t>
            </w:r>
          </w:p>
        </w:tc>
      </w:tr>
    </w:tbl>
    <w:p>
      <w:pPr>
        <w:keepNext w:val="0"/>
        <w:keepLines w:val="0"/>
        <w:spacing w:before="0" w:after="80" w:line="240" w:lineRule="auto"/>
      </w:pPr>
    </w:p>
    <w:p>
      <w:pPr>
        <w:keepNext w:val="0"/>
        <w:keepLines w:val="0"/>
        <w:spacing w:before="0" w:after="0" w:line="259" w:lineRule="auto"/>
      </w:pPr>
      <w:r>
        <w:rPr>
          <w:rFonts w:ascii="Carlito" w:hAnsi="Carlito" w:eastAsia="Carlito"/>
          <w:i/>
          <w:color w:val="58616A"/>
          <w:sz w:val="19"/>
        </w:rPr>
        <w:t>This finding is structural, not psychological. It does not assert that the participants never intended to be correct. It establishes that correctness ceased to control the operative status of the claims.</w:t>
      </w:r>
    </w:p>
    <w:p>
      <w:r>
        <w:br w:type="page"/>
      </w:r>
    </w:p>
    <w:p>
      <w:pPr>
        <w:keepNext/>
        <w:keepLines w:val="0"/>
        <w:spacing w:before="0" w:after="80" w:line="240" w:lineRule="auto"/>
      </w:pPr>
      <w:r>
        <w:rPr>
          <w:rFonts w:ascii="Carlito" w:hAnsi="Carlito" w:eastAsia="Carlito"/>
          <w:b/>
          <w:color w:val="58616A"/>
          <w:sz w:val="17"/>
          <w:caps/>
        </w:rPr>
        <w:t>IX. COUNTERFACTUAL AUDIT TRAIL</w:t>
      </w:r>
    </w:p>
    <w:p>
      <w:pPr>
        <w:keepNext/>
        <w:keepLines/>
        <w:spacing w:before="0" w:after="40" w:line="240" w:lineRule="auto"/>
      </w:pPr>
      <w:r>
        <w:rPr>
          <w:rFonts w:ascii="Carlito" w:hAnsi="Carlito" w:eastAsia="Carlito"/>
          <w:b/>
          <w:color w:val="1C1F22"/>
          <w:sz w:val="48"/>
        </w:rPr>
        <w:t>The Governed Decision Path</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The minimum interventions that would have interrupted the transfer.</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172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Stage</w:t>
            </w:r>
          </w:p>
        </w:tc>
        <w:tc>
          <w:tcPr>
            <w:tcW w:type="dxa" w:w="194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Control</w:t>
            </w:r>
          </w:p>
        </w:tc>
        <w:tc>
          <w:tcPr>
            <w:tcW w:type="dxa" w:w="1512"/>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Required output</w:t>
            </w:r>
          </w:p>
        </w:tc>
        <w:tc>
          <w:tcPr>
            <w:tcW w:type="dxa" w:w="504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Required action</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ChatGPT response</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Source Gate</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NOT ESTABLISHED</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Treat generated cases and quotations as leads only. Retrieve each source independently before use.</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Draft opposition</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Authority Gate</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STOP</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 case enters the filing unless the authentic opinion is retrieved and matched to the proposition and quotation.</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Signatory review</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Promotion Gate</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STOP</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person whose signature confers authority verifies the source objects and the claimed legal support.</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Mar. 15 contradiction</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Warning Trigger</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NOT ESTABLISHED</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Demote every disputed authority; suspend reliance; return the burden to the asserting workflow.</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Apr. 11-12 orders</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Mandatory Source Production</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STOP</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Failure to produce the full authentic decisions closes the propositions and requires correction of the pending filing.</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Apr. 25 excerpts</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Provenance Check</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STOP</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Excerpts without authenticated source lineage cannot be reclassified as judicial opinions.</w:t>
            </w:r>
          </w:p>
        </w:tc>
      </w:tr>
      <w:tr>
        <w:trPr>
          <w:cantSplit/>
        </w:trPr>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Authenticity concern after filing</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Correction Trigger</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CORRECT</w:t>
            </w:r>
          </w:p>
        </w:tc>
        <w:tc>
          <w:tcPr>
            <w:tcW w:type="dxa" w:w="2592"/>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Notify the Court and opponent; withdraw or amend; preserve the original filing and the complete audit trail.</w:t>
            </w:r>
          </w:p>
        </w:tc>
      </w:tr>
      <w:tr>
        <w:trPr>
          <w:cantSplit/>
        </w:trPr>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Post-incident review</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Governance Review</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CONTROL</w:t>
            </w:r>
          </w:p>
        </w:tc>
        <w:tc>
          <w:tcPr>
            <w:tcW w:type="dxa" w:w="2592"/>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Classify the failure, identify ownership, change repository access and signatory controls, and test the corrected workflow.</w:t>
            </w:r>
          </w:p>
        </w:tc>
      </w:tr>
    </w:tbl>
    <w:p>
      <w:pPr>
        <w:keepNext/>
        <w:keepLines w:val="0"/>
        <w:spacing w:before="0" w:after="60" w:line="240" w:lineRule="auto"/>
      </w:pPr>
      <w:r>
        <w:rPr>
          <w:rFonts w:ascii="Carlito" w:hAnsi="Carlito" w:eastAsia="Carlito"/>
          <w:b/>
          <w:color w:val="58616A"/>
          <w:sz w:val="17"/>
          <w:caps/>
        </w:rPr>
        <w:t>CONTROLLED OUTPUT LANGUAGE</w:t>
      </w:r>
    </w:p>
    <w:tbl>
      <w:tblPr>
        <w:tblW w:type="auto" w:w="0"/>
        <w:jc w:val="center"/>
        <w:tblLayout w:type="fixed"/>
        <w:tblLook w:firstColumn="1" w:firstRow="1" w:lastColumn="0" w:lastRow="0" w:noHBand="0" w:noVBand="1" w:val="04A0"/>
      </w:tblPr>
      <w:tblGrid>
        <w:gridCol w:w="5184"/>
        <w:gridCol w:w="5184"/>
      </w:tblGrid>
      <w:tr>
        <w:trPr>
          <w:tblHeader w:val="true"/>
        </w:trPr>
        <w:tc>
          <w:tcPr>
            <w:tcW w:type="dxa" w:w="2088"/>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Output</w:t>
            </w:r>
          </w:p>
        </w:tc>
        <w:tc>
          <w:tcPr>
            <w:tcW w:type="dxa" w:w="8136"/>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6"/>
              </w:rPr>
              <w:t>Required form</w:t>
            </w:r>
          </w:p>
        </w:tc>
      </w:tr>
      <w:tr>
        <w:trPr>
          <w:cantSplit/>
        </w:trPr>
        <w:tc>
          <w:tcPr>
            <w:tcW w:type="dxa" w:w="5184"/>
            <w:shd w:fill="EEF1F3"/>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SUPPORTED</w:t>
            </w:r>
          </w:p>
        </w:tc>
        <w:tc>
          <w:tcPr>
            <w:tcW w:type="dxa" w:w="5184"/>
            <w:shd w:fill="EEF1F3"/>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retrieved source establishes [proposition] at [pinpoint].</w:t>
            </w:r>
          </w:p>
        </w:tc>
      </w:tr>
      <w:tr>
        <w:trPr>
          <w:cantSplit/>
        </w:trPr>
        <w:tc>
          <w:tcPr>
            <w:tcW w:type="dxa" w:w="5184"/>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NOT ESTABLISHED</w:t>
            </w:r>
          </w:p>
        </w:tc>
        <w:tc>
          <w:tcPr>
            <w:tcW w:type="dxa" w:w="5184"/>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submitted material asserts [proposition], but no authenticated source currently supports it.</w:t>
            </w:r>
          </w:p>
        </w:tc>
      </w:tr>
      <w:tr>
        <w:trPr>
          <w:cantSplit/>
        </w:trPr>
        <w:tc>
          <w:tcPr>
            <w:tcW w:type="dxa" w:w="5184"/>
            <w:shd w:fill="EEF1F3"/>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STOP</w:t>
            </w:r>
          </w:p>
        </w:tc>
        <w:tc>
          <w:tcPr>
            <w:tcW w:type="dxa" w:w="5184"/>
            <w:shd w:fill="EEF1F3"/>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workflow may not promote this proposition until [specific source or authority requirement] is satisfied.</w:t>
            </w:r>
          </w:p>
        </w:tc>
      </w:tr>
      <w:tr>
        <w:trPr>
          <w:cantSplit/>
        </w:trPr>
        <w:tc>
          <w:tcPr>
            <w:tcW w:type="dxa" w:w="5184"/>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8"/>
              </w:rPr>
              <w:t>CORRECT</w:t>
            </w:r>
          </w:p>
        </w:tc>
        <w:tc>
          <w:tcPr>
            <w:tcW w:type="dxa" w:w="5184"/>
            <w:tcMar>
              <w:top w:w="66" w:type="dxa"/>
              <w:start w:w="90" w:type="dxa"/>
              <w:bottom w:w="66"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8"/>
              </w:rPr>
              <w:t>The prior record must be withdrawn, amended, or expressly disclaimed, with the original audit trail preserved.</w:t>
            </w:r>
          </w:p>
        </w:tc>
      </w:tr>
    </w:tbl>
    <w:tbl>
      <w:tblPr>
        <w:tblW w:type="auto" w:w="0"/>
        <w:jc w:val="center"/>
        <w:tblLayout w:type="fixed"/>
        <w:tblLook w:firstColumn="1" w:firstRow="1" w:lastColumn="0" w:lastRow="0" w:noHBand="0" w:noVBand="1" w:val="04A0"/>
      </w:tblPr>
      <w:tblGrid>
        <w:gridCol w:w="10224"/>
      </w:tblGrid>
      <w:tr>
        <w:tc>
          <w:tcPr>
            <w:tcW w:type="dxa" w:w="10368"/>
            <w:shd w:fill="EAF1F6"/>
            <w:tcBorders>
              <w:top w:val="single" w:sz="10" w:color="3F78A8"/>
              <w:left w:val="single" w:sz="18" w:color="3F78A8"/>
              <w:bottom w:val="single" w:sz="10" w:color="3F78A8"/>
              <w:right w:val="single" w:sz="10" w:color="3F78A8"/>
            </w:tcBorders>
            <w:tcMar>
              <w:top w:w="105" w:type="dxa"/>
              <w:start w:w="180" w:type="dxa"/>
              <w:bottom w:w="105" w:type="dxa"/>
              <w:end w:w="180" w:type="dxa"/>
            </w:tcMar>
          </w:tcPr>
          <w:p>
            <w:pPr>
              <w:keepNext w:val="0"/>
              <w:keepLines/>
              <w:spacing w:before="0" w:after="40" w:line="240" w:lineRule="auto"/>
            </w:pPr>
            <w:r>
              <w:rPr>
                <w:rFonts w:ascii="Carlito" w:hAnsi="Carlito" w:eastAsia="Carlito"/>
                <w:b/>
                <w:color w:val="3F78A8"/>
                <w:sz w:val="16"/>
                <w:caps/>
              </w:rPr>
              <w:t>COUNTERFACTUAL RESULT</w:t>
            </w:r>
          </w:p>
          <w:p>
            <w:pPr>
              <w:keepNext w:val="0"/>
              <w:keepLines/>
              <w:spacing w:before="0" w:after="0" w:line="259" w:lineRule="auto"/>
            </w:pPr>
            <w:r>
              <w:rPr>
                <w:rFonts w:ascii="Carlito" w:hAnsi="Carlito" w:eastAsia="Carlito"/>
                <w:b/>
                <w:color w:val="1C1F22"/>
                <w:sz w:val="21"/>
              </w:rPr>
              <w:t>The error did not require a smarter model to stop. It required a workflow that refused to promote a proposition beyond the authority of its source.</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X. CONTROL SPECIFICATION</w:t>
      </w:r>
    </w:p>
    <w:p>
      <w:pPr>
        <w:keepNext/>
        <w:keepLines/>
        <w:spacing w:before="0" w:after="40" w:line="240" w:lineRule="auto"/>
      </w:pPr>
      <w:r>
        <w:rPr>
          <w:rFonts w:ascii="Carlito" w:hAnsi="Carlito" w:eastAsia="Carlito"/>
          <w:b/>
          <w:color w:val="1C1F22"/>
          <w:sz w:val="48"/>
        </w:rPr>
        <w:t>The Governed Workflow</w:t>
      </w:r>
    </w:p>
    <w:p>
      <w:pPr>
        <w:keepNext w:val="0"/>
        <w:keepLines w:val="0"/>
        <w:spacing w:before="20" w:after="140" w:line="240" w:lineRule="auto"/>
        <w:pBdr>
          <w:bottom w:val="single" w:sz="12" w:space="1" w:color="3F78A8"/>
        </w:pBdr>
      </w:pPr>
    </w:p>
    <w:p>
      <w:pPr>
        <w:keepNext/>
        <w:keepLines w:val="0"/>
        <w:spacing w:before="0" w:after="140" w:line="240" w:lineRule="auto"/>
      </w:pPr>
      <w:r>
        <w:rPr>
          <w:rFonts w:ascii="Carlito" w:hAnsi="Carlito" w:eastAsia="Carlito"/>
          <w:color w:val="58616A"/>
          <w:sz w:val="22"/>
        </w:rPr>
        <w:t>The minimum architecture required to prevent recurrence.</w:t>
      </w:r>
    </w:p>
    <w:tbl>
      <w:tblPr>
        <w:tblW w:type="auto" w:w="0"/>
        <w:jc w:val="center"/>
        <w:tblLayout w:type="fixed"/>
        <w:tblLook w:firstColumn="1" w:firstRow="1" w:lastColumn="0" w:lastRow="0" w:noHBand="0" w:noVBand="1" w:val="04A0"/>
      </w:tblPr>
      <w:tblGrid>
        <w:gridCol w:w="3456"/>
        <w:gridCol w:w="3456"/>
        <w:gridCol w:w="3456"/>
      </w:tblGrid>
      <w:tr>
        <w:trPr>
          <w:tblHeader w:val="true"/>
        </w:trPr>
        <w:tc>
          <w:tcPr>
            <w:tcW w:type="dxa" w:w="1944"/>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Control</w:t>
            </w:r>
          </w:p>
        </w:tc>
        <w:tc>
          <w:tcPr>
            <w:tcW w:type="dxa" w:w="612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Rule</w:t>
            </w:r>
          </w:p>
        </w:tc>
        <w:tc>
          <w:tcPr>
            <w:tcW w:type="dxa" w:w="2160"/>
            <w:shd w:fill="25313C"/>
            <w:tcMar>
              <w:top w:w="90" w:type="dxa"/>
              <w:start w:w="90" w:type="dxa"/>
              <w:bottom w:w="90" w:type="dxa"/>
              <w:end w:w="90" w:type="dxa"/>
            </w:tcMar>
            <w:tcBorders>
              <w:bottom w:val="single" w:sz="6" w:color="25313C"/>
            </w:tcBorders>
            <w:vAlign w:val="center"/>
          </w:tcPr>
          <w:p>
            <w:pPr>
              <w:keepNext w:val="0"/>
              <w:keepLines/>
              <w:spacing w:before="0" w:after="0" w:line="240" w:lineRule="auto"/>
            </w:pPr>
            <w:r>
              <w:rPr>
                <w:rFonts w:ascii="Carlito" w:hAnsi="Carlito" w:eastAsia="Carlito"/>
                <w:b/>
                <w:color w:val="FFFFFF"/>
                <w:sz w:val="15"/>
              </w:rPr>
              <w:t>Required artifact</w:t>
            </w:r>
          </w:p>
        </w:tc>
      </w:tr>
      <w:tr>
        <w:trPr>
          <w:cantSplit/>
        </w:trPr>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1. Source Gate</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No material proposition enters the decision path unless it links to an inspectable source object. Generated prose is never itself the source.</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Source record + provenance link</w:t>
            </w:r>
          </w:p>
        </w:tc>
      </w:tr>
      <w:tr>
        <w:trPr>
          <w:cantSplit/>
        </w:trPr>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2. Authority Gate</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Every citation, precedent, policy, quotation, and factual authority is retrieved from an approved repository and matched to its claimed proposition.</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Source-to-proposition match</w:t>
            </w:r>
          </w:p>
        </w:tc>
      </w:tr>
      <w:tr>
        <w:trPr>
          <w:cantSplit/>
        </w:trPr>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3. Proposition Classification</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Each material statement is marked as observation, generated synthesis, interpretation, legal or policy claim, inference, or conclusion before review.</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Proposition ledger</w:t>
            </w:r>
          </w:p>
        </w:tc>
      </w:tr>
      <w:tr>
        <w:trPr>
          <w:cantSplit/>
        </w:trPr>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4. Promotion Gate</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person or role whose authority will promote the output verifies the supporting sources, not merely style, coherence, or form.</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Signed verification record</w:t>
            </w:r>
          </w:p>
        </w:tc>
      </w:tr>
      <w:tr>
        <w:trPr>
          <w:cantSplit/>
        </w:trPr>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5. Warning Trigger</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Inability to locate a source, adversarial contradiction, or mismatch between source and proposition automatically demotes the claim and suspends submission.</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Warning log + status change</w:t>
            </w:r>
          </w:p>
        </w:tc>
      </w:tr>
      <w:tr>
        <w:trPr>
          <w:cantSplit/>
        </w:trPr>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6. Burden Return</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The asserting person or system produces the source. The reviewer is not required to disprove an unsupported proposition.</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Source request + closure state</w:t>
            </w:r>
          </w:p>
        </w:tc>
      </w:tr>
      <w:tr>
        <w:trPr>
          <w:cantSplit/>
        </w:trPr>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7. Correction Trigger</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Any material authenticity concern discovered after submission requires immediate notice, withdrawal or amendment, and preservation of the original audit trail.</w:t>
            </w:r>
          </w:p>
        </w:tc>
        <w:tc>
          <w:tcPr>
            <w:tcW w:type="dxa" w:w="3456"/>
            <w:shd w:fill="EEF1F3"/>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Correction notice + preserved history</w:t>
            </w:r>
          </w:p>
        </w:tc>
      </w:tr>
      <w:tr>
        <w:trPr>
          <w:cantSplit/>
        </w:trPr>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color w:val="1C1F22"/>
                <w:sz w:val="15"/>
              </w:rPr>
              <w:t>8. Stopping Rule</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If provenance or authority cannot be established, the claim closes as unsupported. Confidence, urgency, and prior reliance do not reopen it.</w:t>
            </w:r>
          </w:p>
        </w:tc>
        <w:tc>
          <w:tcPr>
            <w:tcW w:type="dxa" w:w="3456"/>
            <w:tcMar>
              <w:top w:w="52" w:type="dxa"/>
              <w:start w:w="90" w:type="dxa"/>
              <w:bottom w:w="52" w:type="dxa"/>
              <w:end w:w="90" w:type="dxa"/>
            </w:tcMar>
            <w:tcBorders>
              <w:bottom w:val="single" w:sz="4" w:color="D8DEE3"/>
            </w:tcBorders>
            <w:vAlign w:val="top"/>
          </w:tcPr>
          <w:p>
            <w:pPr>
              <w:keepNext w:val="0"/>
              <w:keepLines/>
              <w:spacing w:before="0" w:after="0" w:line="245" w:lineRule="auto"/>
            </w:pPr>
            <w:r>
              <w:rPr>
                <w:rFonts w:ascii="Carlito" w:hAnsi="Carlito" w:eastAsia="Carlito"/>
                <w:b w:val="0"/>
                <w:color w:val="1C1F22"/>
                <w:sz w:val="15"/>
              </w:rPr>
              <w:t>STOP output</w:t>
            </w:r>
          </w:p>
        </w:tc>
      </w:tr>
    </w:tbl>
    <w:p>
      <w:pPr>
        <w:keepNext/>
        <w:keepLines w:val="0"/>
        <w:spacing w:before="0" w:after="60" w:line="240" w:lineRule="auto"/>
      </w:pPr>
      <w:r>
        <w:rPr>
          <w:rFonts w:ascii="Carlito" w:hAnsi="Carlito" w:eastAsia="Carlito"/>
          <w:b/>
          <w:color w:val="58616A"/>
          <w:sz w:val="17"/>
          <w:caps/>
        </w:rPr>
        <w:t>OWNERSHIP RULE</w:t>
      </w:r>
    </w:p>
    <w:p>
      <w:pPr>
        <w:keepNext w:val="0"/>
        <w:keepLines w:val="0"/>
        <w:spacing w:before="0" w:after="100" w:line="259" w:lineRule="auto"/>
      </w:pPr>
      <w:r>
        <w:rPr>
          <w:rFonts w:ascii="Carlito" w:hAnsi="Carlito" w:eastAsia="Carlito"/>
          <w:i w:val="0"/>
          <w:color w:val="1C1F22"/>
          <w:sz w:val="21"/>
        </w:rPr>
        <w:t>Authority and answerability travel together. The person, role, or institution whose authority makes a proposition consequential inherits the obligation to verify, preserve, and correct the source relationship that entitles the proposition to act.</w:t>
      </w:r>
    </w:p>
    <w:tbl>
      <w:tblPr>
        <w:tblW w:type="auto" w:w="0"/>
        <w:jc w:val="center"/>
        <w:tblLayout w:type="fixed"/>
        <w:tblLook w:firstColumn="1" w:firstRow="1" w:lastColumn="0" w:lastRow="0" w:noHBand="0" w:noVBand="1" w:val="04A0"/>
      </w:tblPr>
      <w:tblGrid>
        <w:gridCol w:w="10224"/>
      </w:tblGrid>
      <w:tr>
        <w:tc>
          <w:tcPr>
            <w:tcW w:type="dxa" w:w="10368"/>
            <w:shd w:fill="25313C"/>
            <w:tcBorders>
              <w:top w:val="single" w:sz="10" w:color="25313C"/>
              <w:left w:val="single" w:sz="18" w:color="25313C"/>
              <w:bottom w:val="single" w:sz="10" w:color="25313C"/>
              <w:right w:val="single" w:sz="10" w:color="25313C"/>
            </w:tcBorders>
            <w:tcMar>
              <w:top w:w="120" w:type="dxa"/>
              <w:start w:w="180" w:type="dxa"/>
              <w:bottom w:w="120" w:type="dxa"/>
              <w:end w:w="180" w:type="dxa"/>
            </w:tcMar>
          </w:tcPr>
          <w:p>
            <w:pPr>
              <w:keepNext w:val="0"/>
              <w:keepLines/>
              <w:spacing w:before="0" w:after="40" w:line="240" w:lineRule="auto"/>
            </w:pPr>
            <w:r>
              <w:rPr>
                <w:rFonts w:ascii="Carlito" w:hAnsi="Carlito" w:eastAsia="Carlito"/>
                <w:b/>
                <w:color w:val="B9D3E7"/>
                <w:sz w:val="16"/>
                <w:caps/>
              </w:rPr>
              <w:t>GOVERNANCE RULE</w:t>
            </w:r>
          </w:p>
          <w:p>
            <w:pPr>
              <w:keepNext w:val="0"/>
              <w:keepLines/>
              <w:spacing w:before="0" w:after="0" w:line="259" w:lineRule="auto"/>
            </w:pPr>
            <w:r>
              <w:rPr>
                <w:rFonts w:ascii="Carlito" w:hAnsi="Carlito" w:eastAsia="Carlito"/>
                <w:b/>
                <w:color w:val="FFFFFF"/>
                <w:sz w:val="21"/>
              </w:rPr>
              <w:t>A proposition that cannot pass the Authority Gate cannot retain institutional force.</w:t>
            </w:r>
          </w:p>
        </w:tc>
      </w:tr>
    </w:tbl>
    <w:p>
      <w:pPr>
        <w:keepNext w:val="0"/>
        <w:keepLines w:val="0"/>
        <w:spacing w:before="0" w:after="0" w:line="240" w:lineRule="auto"/>
      </w:pPr>
    </w:p>
    <w:p>
      <w:r>
        <w:br w:type="page"/>
      </w:r>
    </w:p>
    <w:p>
      <w:pPr>
        <w:keepNext/>
        <w:keepLines w:val="0"/>
        <w:spacing w:before="0" w:after="80" w:line="240" w:lineRule="auto"/>
      </w:pPr>
      <w:r>
        <w:rPr>
          <w:rFonts w:ascii="Carlito" w:hAnsi="Carlito" w:eastAsia="Carlito"/>
          <w:b/>
          <w:color w:val="58616A"/>
          <w:sz w:val="17"/>
          <w:caps/>
        </w:rPr>
        <w:t>XI. COMMERCIAL DEMONSTRATION</w:t>
      </w:r>
    </w:p>
    <w:p>
      <w:pPr>
        <w:keepNext/>
        <w:keepLines/>
        <w:spacing w:before="0" w:after="40" w:line="240" w:lineRule="auto"/>
      </w:pPr>
      <w:r>
        <w:rPr>
          <w:rFonts w:ascii="Carlito" w:hAnsi="Carlito" w:eastAsia="Carlito"/>
          <w:b/>
          <w:color w:val="1C1F22"/>
          <w:sz w:val="48"/>
        </w:rPr>
        <w:t>What the Diagnostic Adds</w:t>
      </w:r>
    </w:p>
    <w:p>
      <w:pPr>
        <w:keepNext w:val="0"/>
        <w:keepLines w:val="0"/>
        <w:spacing w:before="20" w:after="140" w:line="240" w:lineRule="auto"/>
        <w:pBdr>
          <w:bottom w:val="single" w:sz="12" w:space="1" w:color="3F78A8"/>
        </w:pBdr>
      </w:pPr>
    </w:p>
    <w:p>
      <w:pPr>
        <w:keepNext w:val="0"/>
        <w:keepLines w:val="0"/>
        <w:spacing w:before="0" w:after="140" w:line="269" w:lineRule="auto"/>
      </w:pPr>
      <w:r>
        <w:rPr>
          <w:rFonts w:ascii="Carlito" w:hAnsi="Carlito" w:eastAsia="Carlito"/>
          <w:i w:val="0"/>
          <w:color w:val="1C1F22"/>
          <w:sz w:val="22"/>
        </w:rPr>
        <w:t>The proof object is not that a model can be wrong. It is that the path from record to authority can be reconstructed, classified, and governed at proposition level.</w:t>
      </w:r>
    </w:p>
    <w:tbl>
      <w:tblPr>
        <w:tblW w:type="auto" w:w="0"/>
        <w:jc w:val="center"/>
        <w:tblLayout w:type="fixed"/>
        <w:tblLook w:firstColumn="1" w:firstRow="1" w:lastColumn="0" w:lastRow="0" w:noHBand="0" w:noVBand="1" w:val="04A0"/>
      </w:tblPr>
      <w:tblGrid>
        <w:gridCol w:w="5184"/>
        <w:gridCol w:w="5184"/>
      </w:tblGrid>
      <w:tr>
        <w:trPr>
          <w:cantSplit/>
        </w:trPr>
        <w:tc>
          <w:tcPr>
            <w:tcW w:type="dxa" w:w="2232"/>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ORDINARY REVIEW</w:t>
            </w:r>
          </w:p>
        </w:tc>
        <w:tc>
          <w:tcPr>
            <w:tcW w:type="dxa" w:w="7992"/>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Checks factual accuracy, citations, tone, completeness, or final quality.</w:t>
            </w:r>
          </w:p>
        </w:tc>
      </w:tr>
      <w:tr>
        <w:trPr>
          <w:cantSplit/>
        </w:trPr>
        <w:tc>
          <w:tcPr>
            <w:tcW w:type="dxa" w:w="2232"/>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DECISION INTEGRITY REVIEW</w:t>
            </w:r>
          </w:p>
        </w:tc>
        <w:tc>
          <w:tcPr>
            <w:tcW w:type="dxa" w:w="7992"/>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Reconstructs each material proposition, its source, its permitted authority, every promotion, every warning, and the point at which the workflow should have stopped.</w:t>
            </w:r>
          </w:p>
        </w:tc>
      </w:tr>
      <w:tr>
        <w:trPr>
          <w:cantSplit/>
        </w:trPr>
        <w:tc>
          <w:tcPr>
            <w:tcW w:type="dxa" w:w="2232"/>
            <w:shd w:fill="F7F8F9"/>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CLIENT OUTPUT</w:t>
            </w:r>
          </w:p>
        </w:tc>
        <w:tc>
          <w:tcPr>
            <w:tcW w:type="dxa" w:w="7992"/>
            <w:shd w:fill="F7F8F9"/>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Bounded-corpus declaration; event and evidence map; proposition ledger; source hierarchy; failure taxonomy; severity classification; limited finding; control specification; counterfactual audit trail.</w:t>
            </w:r>
          </w:p>
        </w:tc>
      </w:tr>
      <w:tr>
        <w:trPr>
          <w:cantSplit/>
        </w:trPr>
        <w:tc>
          <w:tcPr>
            <w:tcW w:type="dxa" w:w="2232"/>
            <w:tcMar>
              <w:top w:w="70" w:type="dxa"/>
              <w:start w:w="95" w:type="dxa"/>
              <w:bottom w:w="70" w:type="dxa"/>
              <w:end w:w="95" w:type="dxa"/>
            </w:tcMar>
            <w:tcBorders>
              <w:bottom w:val="single" w:sz="4" w:color="D8DEE3"/>
            </w:tcBorders>
            <w:vAlign w:val="center"/>
          </w:tcPr>
          <w:p>
            <w:pPr>
              <w:keepNext w:val="0"/>
              <w:keepLines/>
              <w:spacing w:before="0" w:after="0" w:line="240" w:lineRule="auto"/>
            </w:pPr>
            <w:r>
              <w:rPr>
                <w:rFonts w:ascii="Carlito" w:hAnsi="Carlito" w:eastAsia="Carlito"/>
                <w:b/>
                <w:color w:val="58616A"/>
                <w:sz w:val="16"/>
                <w:caps/>
              </w:rPr>
              <w:t>OPERATIONAL USE</w:t>
            </w:r>
          </w:p>
        </w:tc>
        <w:tc>
          <w:tcPr>
            <w:tcW w:type="dxa" w:w="7992"/>
            <w:tcMar>
              <w:top w:w="70" w:type="dxa"/>
              <w:start w:w="95" w:type="dxa"/>
              <w:bottom w:w="70" w:type="dxa"/>
              <w:end w:w="95" w:type="dxa"/>
            </w:tcMar>
            <w:tcBorders>
              <w:bottom w:val="single" w:sz="4" w:color="D8DEE3"/>
            </w:tcBorders>
            <w:vAlign w:val="center"/>
          </w:tcPr>
          <w:p>
            <w:pPr>
              <w:keepNext w:val="0"/>
              <w:keepLines/>
              <w:spacing w:before="0" w:after="0" w:line="250" w:lineRule="auto"/>
            </w:pPr>
            <w:r>
              <w:rPr>
                <w:rFonts w:ascii="Carlito" w:hAnsi="Carlito" w:eastAsia="Carlito"/>
                <w:color w:val="1C1F22"/>
                <w:sz w:val="18"/>
              </w:rPr>
              <w:t>Predeployment testing, incident reconstruction, workflow redesign, model or prompt changes, signatory controls, and periodic architecture maintenance.</w:t>
            </w:r>
          </w:p>
        </w:tc>
      </w:tr>
    </w:tbl>
    <w:p>
      <w:pPr>
        <w:keepNext/>
        <w:keepLines w:val="0"/>
        <w:spacing w:before="0" w:after="60" w:line="240" w:lineRule="auto"/>
      </w:pPr>
      <w:r>
        <w:rPr>
          <w:rFonts w:ascii="Carlito" w:hAnsi="Carlito" w:eastAsia="Carlito"/>
          <w:b/>
          <w:color w:val="58616A"/>
          <w:sz w:val="17"/>
          <w:caps/>
        </w:rPr>
        <w:t>WHY THIS CASE</w:t>
      </w:r>
    </w:p>
    <w:p>
      <w:pPr>
        <w:keepNext w:val="0"/>
        <w:keepLines w:val="0"/>
        <w:spacing w:before="0" w:after="120" w:line="259" w:lineRule="auto"/>
      </w:pPr>
      <w:r>
        <w:rPr>
          <w:rFonts w:ascii="Carlito" w:hAnsi="Carlito" w:eastAsia="Carlito"/>
          <w:i w:val="0"/>
          <w:color w:val="1C1F22"/>
          <w:sz w:val="20"/>
        </w:rPr>
        <w:t>The published record makes the full path visible: generated content, fabricated sources, human reliance, professional promotion, explicit contradiction, failed correction, and final consequence. That sequence allows the diagnostic to show its work without confidential client material.</w:t>
      </w:r>
    </w:p>
    <w:p>
      <w:pPr>
        <w:keepNext/>
        <w:keepLines w:val="0"/>
        <w:spacing w:before="0" w:after="60" w:line="240" w:lineRule="auto"/>
      </w:pPr>
      <w:r>
        <w:rPr>
          <w:rFonts w:ascii="Carlito" w:hAnsi="Carlito" w:eastAsia="Carlito"/>
          <w:b/>
          <w:color w:val="58616A"/>
          <w:sz w:val="17"/>
          <w:caps/>
        </w:rPr>
        <w:t>WHAT THIS DOSSIER DEMONSTRATES</w:t>
      </w:r>
    </w:p>
    <w:p>
      <w:pPr>
        <w:pStyle w:val="ListBullet"/>
        <w:keepNext w:val="0"/>
        <w:keepLines w:val="0"/>
        <w:spacing w:before="0" w:after="50" w:line="247" w:lineRule="auto"/>
      </w:pPr>
      <w:r>
        <w:rPr>
          <w:rFonts w:ascii="Carlito" w:hAnsi="Carlito" w:eastAsia="Carlito"/>
          <w:color w:val="1C1F22"/>
          <w:sz w:val="19"/>
        </w:rPr>
        <w:t>A bounded public record can be converted into a proposition-level integrity reconstruction.</w:t>
      </w:r>
    </w:p>
    <w:p>
      <w:pPr>
        <w:pStyle w:val="ListBullet"/>
        <w:keepNext w:val="0"/>
        <w:keepLines w:val="0"/>
        <w:spacing w:before="0" w:after="50" w:line="247" w:lineRule="auto"/>
      </w:pPr>
      <w:r>
        <w:rPr>
          <w:rFonts w:ascii="Carlito" w:hAnsi="Carlito" w:eastAsia="Carlito"/>
          <w:color w:val="1C1F22"/>
          <w:sz w:val="19"/>
        </w:rPr>
        <w:t>Unsupported language can be tracked as it acquires institutional authority through human and procedural transfers.</w:t>
      </w:r>
    </w:p>
    <w:p>
      <w:pPr>
        <w:pStyle w:val="ListBullet"/>
        <w:keepNext w:val="0"/>
        <w:keepLines w:val="0"/>
        <w:spacing w:before="0" w:after="50" w:line="247" w:lineRule="auto"/>
      </w:pPr>
      <w:r>
        <w:rPr>
          <w:rFonts w:ascii="Carlito" w:hAnsi="Carlito" w:eastAsia="Carlito"/>
          <w:color w:val="1C1F22"/>
          <w:sz w:val="19"/>
        </w:rPr>
        <w:t>Warnings can be evaluated by whether they actually change status, burden, and action.</w:t>
      </w:r>
    </w:p>
    <w:p>
      <w:pPr>
        <w:pStyle w:val="ListBullet"/>
        <w:keepNext w:val="0"/>
        <w:keepLines w:val="0"/>
        <w:spacing w:before="0" w:after="50" w:line="247" w:lineRule="auto"/>
      </w:pPr>
      <w:r>
        <w:rPr>
          <w:rFonts w:ascii="Carlito" w:hAnsi="Carlito" w:eastAsia="Carlito"/>
          <w:color w:val="1C1F22"/>
          <w:sz w:val="19"/>
        </w:rPr>
        <w:t>The same reconstruction can produce workflow-specific controls rather than a generic instruction to verify AI output.</w:t>
      </w:r>
    </w:p>
    <w:p>
      <w:pPr>
        <w:keepNext/>
        <w:keepLines w:val="0"/>
        <w:spacing w:before="0" w:after="60" w:line="240" w:lineRule="auto"/>
      </w:pPr>
      <w:r>
        <w:rPr>
          <w:rFonts w:ascii="Carlito" w:hAnsi="Carlito" w:eastAsia="Carlito"/>
          <w:b/>
          <w:color w:val="58616A"/>
          <w:sz w:val="17"/>
          <w:caps/>
        </w:rPr>
        <w:t>ALIGNMENT NOTE</w:t>
      </w:r>
    </w:p>
    <w:p>
      <w:pPr>
        <w:keepNext w:val="0"/>
        <w:keepLines w:val="0"/>
        <w:spacing w:before="0" w:after="0" w:line="259" w:lineRule="auto"/>
      </w:pPr>
      <w:r>
        <w:rPr>
          <w:rFonts w:ascii="Carlito" w:hAnsi="Carlito" w:eastAsia="Carlito"/>
          <w:i/>
          <w:color w:val="58616A"/>
          <w:sz w:val="18"/>
        </w:rPr>
        <w:t>The diagnostic can operate inside broader risk-management programs. NIST AI RMF 1.0 organizes risk work through Govern, Map, Measure, and Manage; this dossier supplies a bounded proposition-level mechanism for tracing authority, provenance, warning response, and correction. It is not a NIST or ISO certification.</w:t>
      </w:r>
    </w:p>
    <w:p>
      <w:r>
        <w:br w:type="page"/>
      </w:r>
    </w:p>
    <w:p>
      <w:pPr>
        <w:keepNext/>
        <w:keepLines w:val="0"/>
        <w:spacing w:before="0" w:after="80" w:line="240" w:lineRule="auto"/>
      </w:pPr>
      <w:r>
        <w:rPr>
          <w:rFonts w:ascii="Carlito" w:hAnsi="Carlito" w:eastAsia="Carlito"/>
          <w:b/>
          <w:color w:val="58616A"/>
          <w:sz w:val="17"/>
          <w:caps/>
        </w:rPr>
        <w:t>XII. LIMITS AND SOURCE BASIS</w:t>
      </w:r>
    </w:p>
    <w:p>
      <w:pPr>
        <w:keepNext/>
        <w:keepLines/>
        <w:spacing w:before="0" w:after="40" w:line="240" w:lineRule="auto"/>
      </w:pPr>
      <w:r>
        <w:rPr>
          <w:rFonts w:ascii="Carlito" w:hAnsi="Carlito" w:eastAsia="Carlito"/>
          <w:b/>
          <w:color w:val="1C1F22"/>
          <w:sz w:val="48"/>
        </w:rPr>
        <w:t>What the Record Entitles</w:t>
      </w:r>
    </w:p>
    <w:p>
      <w:pPr>
        <w:keepNext w:val="0"/>
        <w:keepLines w:val="0"/>
        <w:spacing w:before="20" w:after="140" w:line="240" w:lineRule="auto"/>
        <w:pBdr>
          <w:bottom w:val="single" w:sz="12" w:space="1" w:color="3F78A8"/>
        </w:pBdr>
      </w:pPr>
    </w:p>
    <w:p>
      <w:pPr>
        <w:keepNext/>
        <w:keepLines w:val="0"/>
        <w:spacing w:before="0" w:after="60" w:line="240" w:lineRule="auto"/>
      </w:pPr>
      <w:r>
        <w:rPr>
          <w:rFonts w:ascii="Carlito" w:hAnsi="Carlito" w:eastAsia="Carlito"/>
          <w:b/>
          <w:color w:val="58616A"/>
          <w:sz w:val="17"/>
          <w:caps/>
        </w:rPr>
        <w:t>WHAT THIS DOSSIER DOES NOT CLAIM</w:t>
      </w:r>
    </w:p>
    <w:p>
      <w:pPr>
        <w:pStyle w:val="ListBullet"/>
        <w:keepNext w:val="0"/>
        <w:keepLines w:val="0"/>
        <w:spacing w:before="0" w:after="60" w:line="247" w:lineRule="auto"/>
      </w:pPr>
      <w:r>
        <w:rPr>
          <w:rFonts w:ascii="Carlito" w:hAnsi="Carlito" w:eastAsia="Carlito"/>
          <w:color w:val="1C1F22"/>
          <w:sz w:val="19"/>
        </w:rPr>
        <w:t>It does not claim that the Cartographer's Method would have prevented every error in the underlying litigation.</w:t>
      </w:r>
    </w:p>
    <w:p>
      <w:pPr>
        <w:pStyle w:val="ListBullet"/>
        <w:keepNext w:val="0"/>
        <w:keepLines w:val="0"/>
        <w:spacing w:before="0" w:after="60" w:line="247" w:lineRule="auto"/>
      </w:pPr>
      <w:r>
        <w:rPr>
          <w:rFonts w:ascii="Carlito" w:hAnsi="Carlito" w:eastAsia="Carlito"/>
          <w:color w:val="1C1F22"/>
          <w:sz w:val="19"/>
        </w:rPr>
        <w:t>It does not offer legal advice, retry the Court's findings, or certify legal or regulatory compliance.</w:t>
      </w:r>
    </w:p>
    <w:p>
      <w:pPr>
        <w:pStyle w:val="ListBullet"/>
        <w:keepNext w:val="0"/>
        <w:keepLines w:val="0"/>
        <w:spacing w:before="0" w:after="60" w:line="247" w:lineRule="auto"/>
      </w:pPr>
      <w:r>
        <w:rPr>
          <w:rFonts w:ascii="Carlito" w:hAnsi="Carlito" w:eastAsia="Carlito"/>
          <w:color w:val="1C1F22"/>
          <w:sz w:val="19"/>
        </w:rPr>
        <w:t>It does not infer private motives where the published record does not establish them.</w:t>
      </w:r>
    </w:p>
    <w:p>
      <w:pPr>
        <w:pStyle w:val="ListBullet"/>
        <w:keepNext w:val="0"/>
        <w:keepLines w:val="0"/>
        <w:spacing w:before="0" w:after="60" w:line="247" w:lineRule="auto"/>
      </w:pPr>
      <w:r>
        <w:rPr>
          <w:rFonts w:ascii="Carlito" w:hAnsi="Carlito" w:eastAsia="Carlito"/>
          <w:color w:val="1C1F22"/>
          <w:sz w:val="19"/>
        </w:rPr>
        <w:t>It does not claim that AI alone caused the failure; the governing object is the human and institutional promotion chain.</w:t>
      </w:r>
    </w:p>
    <w:p>
      <w:pPr>
        <w:pStyle w:val="ListBullet"/>
        <w:keepNext w:val="0"/>
        <w:keepLines w:val="0"/>
        <w:spacing w:before="0" w:after="60" w:line="247" w:lineRule="auto"/>
      </w:pPr>
      <w:r>
        <w:rPr>
          <w:rFonts w:ascii="Carlito" w:hAnsi="Carlito" w:eastAsia="Carlito"/>
          <w:color w:val="1C1F22"/>
          <w:sz w:val="19"/>
        </w:rPr>
        <w:t>It does not treat later sanctions as proof that every earlier participant possessed the same knowledge at every stage.</w:t>
      </w:r>
    </w:p>
    <w:p>
      <w:pPr>
        <w:pStyle w:val="ListBullet"/>
        <w:keepNext w:val="0"/>
        <w:keepLines w:val="0"/>
        <w:spacing w:before="0" w:after="60" w:line="247" w:lineRule="auto"/>
      </w:pPr>
      <w:r>
        <w:rPr>
          <w:rFonts w:ascii="Carlito" w:hAnsi="Carlito" w:eastAsia="Carlito"/>
          <w:color w:val="1C1F22"/>
          <w:sz w:val="19"/>
        </w:rPr>
        <w:t>It demonstrates a bounded capability: reconstructing how unsupported propositions acquired decision-bearing authority and specifying controls that would have interrupted that path.</w:t>
      </w:r>
    </w:p>
    <w:p>
      <w:pPr>
        <w:keepNext/>
        <w:keepLines w:val="0"/>
        <w:spacing w:before="0" w:after="60" w:line="240" w:lineRule="auto"/>
      </w:pPr>
      <w:r>
        <w:rPr>
          <w:rFonts w:ascii="Carlito" w:hAnsi="Carlito" w:eastAsia="Carlito"/>
          <w:b/>
          <w:color w:val="58616A"/>
          <w:sz w:val="17"/>
          <w:caps/>
        </w:rPr>
        <w:t>PRIMARY SOURCE</w:t>
      </w:r>
    </w:p>
    <w:p>
      <w:pPr>
        <w:keepNext w:val="0"/>
        <w:keepLines w:val="0"/>
        <w:spacing w:before="0" w:after="80" w:line="259" w:lineRule="auto"/>
      </w:pPr>
      <w:r>
        <w:rPr>
          <w:rFonts w:ascii="Carlito" w:hAnsi="Carlito" w:eastAsia="Carlito"/>
          <w:i w:val="0"/>
          <w:color w:val="1C1F22"/>
          <w:sz w:val="19"/>
        </w:rPr>
        <w:t>Mata v. Avianca, Inc., 678 F. Supp. 3d 443 (S.D.N.Y. 2023), No. 22-cv-1461 (PKC), ECF No. 54, Opinion and Order on Sanctions (June 22, 2023).</w:t>
      </w:r>
    </w:p>
    <w:p>
      <w:pPr>
        <w:keepNext w:val="0"/>
        <w:keepLines w:val="0"/>
        <w:spacing w:before="0" w:after="140" w:line="259" w:lineRule="auto"/>
      </w:pPr>
      <w:r>
        <w:rPr>
          <w:rFonts w:ascii="Carlito" w:hAnsi="Carlito" w:eastAsia="Carlito"/>
          <w:i/>
          <w:color w:val="58616A"/>
          <w:sz w:val="18"/>
        </w:rPr>
        <w:t>The event map, proposition ledger, and findings in this dossier rely on the Court's published findings of fact and conclusions of law. ECF references identify the underlying items as described in that opinion.</w:t>
      </w:r>
    </w:p>
    <w:p>
      <w:pPr>
        <w:keepNext/>
        <w:keepLines w:val="0"/>
        <w:spacing w:before="0" w:after="60" w:line="240" w:lineRule="auto"/>
      </w:pPr>
      <w:r>
        <w:rPr>
          <w:rFonts w:ascii="Carlito" w:hAnsi="Carlito" w:eastAsia="Carlito"/>
          <w:b/>
          <w:color w:val="58616A"/>
          <w:sz w:val="17"/>
          <w:caps/>
        </w:rPr>
        <w:t>FRAMEWORK REFERENCES</w:t>
      </w:r>
    </w:p>
    <w:p>
      <w:pPr>
        <w:keepNext w:val="0"/>
        <w:keepLines w:val="0"/>
        <w:spacing w:before="0" w:after="60" w:line="259" w:lineRule="auto"/>
      </w:pPr>
      <w:r>
        <w:rPr>
          <w:rFonts w:ascii="Carlito" w:hAnsi="Carlito" w:eastAsia="Carlito"/>
          <w:i w:val="0"/>
          <w:color w:val="1C1F22"/>
          <w:sz w:val="18"/>
        </w:rPr>
        <w:t>National Institute of Standards and Technology, Artificial Intelligence Risk Management Framework (AI RMF 1.0), NIST AI 100-1 (2023).</w:t>
      </w:r>
    </w:p>
    <w:p>
      <w:pPr>
        <w:keepNext w:val="0"/>
        <w:keepLines w:val="0"/>
        <w:spacing w:before="0" w:after="140" w:line="259" w:lineRule="auto"/>
      </w:pPr>
      <w:r>
        <w:rPr>
          <w:rFonts w:ascii="Carlito" w:hAnsi="Carlito" w:eastAsia="Carlito"/>
          <w:i w:val="0"/>
          <w:color w:val="1C1F22"/>
          <w:sz w:val="18"/>
        </w:rPr>
        <w:t>Wheeler Hubbell, Before Certainty: The Cartographer's Method (manuscript, 2026), governing rule: no conclusion may exceed what the record is entitled to establish.</w:t>
      </w:r>
    </w:p>
    <w:tbl>
      <w:tblPr>
        <w:tblW w:type="auto" w:w="0"/>
        <w:jc w:val="center"/>
        <w:tblLayout w:type="fixed"/>
        <w:tblLook w:firstColumn="1" w:firstRow="1" w:lastColumn="0" w:lastRow="0" w:noHBand="0" w:noVBand="1" w:val="04A0"/>
      </w:tblPr>
      <w:tblGrid>
        <w:gridCol w:w="10224"/>
      </w:tblGrid>
      <w:tr>
        <w:tc>
          <w:tcPr>
            <w:tcW w:type="dxa" w:w="10368"/>
            <w:shd w:fill="25313C"/>
            <w:tcBorders>
              <w:top w:val="single" w:sz="10" w:color="25313C"/>
              <w:left w:val="single" w:sz="18" w:color="25313C"/>
              <w:bottom w:val="single" w:sz="10" w:color="25313C"/>
              <w:right w:val="single" w:sz="10" w:color="25313C"/>
            </w:tcBorders>
            <w:tcMar>
              <w:top w:w="135" w:type="dxa"/>
              <w:start w:w="180" w:type="dxa"/>
              <w:bottom w:w="135" w:type="dxa"/>
              <w:end w:w="180" w:type="dxa"/>
            </w:tcMar>
          </w:tcPr>
          <w:p>
            <w:pPr>
              <w:keepNext w:val="0"/>
              <w:keepLines/>
              <w:spacing w:before="0" w:after="40" w:line="240" w:lineRule="auto"/>
            </w:pPr>
            <w:r>
              <w:rPr>
                <w:rFonts w:ascii="Carlito" w:hAnsi="Carlito" w:eastAsia="Carlito"/>
                <w:b/>
                <w:color w:val="B9D3E7"/>
                <w:sz w:val="16"/>
                <w:caps/>
              </w:rPr>
              <w:t>FINAL FINDING</w:t>
            </w:r>
          </w:p>
          <w:p>
            <w:pPr>
              <w:keepNext w:val="0"/>
              <w:keepLines/>
              <w:spacing w:before="0" w:after="0" w:line="259" w:lineRule="auto"/>
            </w:pPr>
            <w:r>
              <w:rPr>
                <w:rFonts w:ascii="Carlito" w:hAnsi="Carlito" w:eastAsia="Carlito"/>
                <w:b/>
                <w:color w:val="FFFFFF"/>
                <w:sz w:val="21"/>
              </w:rPr>
              <w:t>Mata v. Avianca was not only a case in which false material entered a legal filing. It was a visible record of the operations by which assertion borrowed form, form borrowed professional authority, authority survived contradiction, and external jurisdiction was finally required to restore the boundary between what was filed and what was true.</w:t>
            </w:r>
          </w:p>
        </w:tc>
      </w:tr>
    </w:tbl>
    <w:p>
      <w:pPr>
        <w:keepNext w:val="0"/>
        <w:keepLines w:val="0"/>
        <w:spacing w:before="0" w:after="160" w:line="240" w:lineRule="auto"/>
      </w:pPr>
    </w:p>
    <w:p>
      <w:pPr>
        <w:keepNext w:val="0"/>
        <w:keepLines w:val="0"/>
        <w:spacing w:before="80" w:after="20" w:line="240" w:lineRule="auto"/>
        <w:jc w:val="left"/>
      </w:pPr>
      <w:r>
        <w:rPr>
          <w:rFonts w:ascii="Carlito" w:hAnsi="Carlito" w:eastAsia="Carlito"/>
          <w:b/>
          <w:color w:val="1C1F22"/>
          <w:sz w:val="24"/>
        </w:rPr>
        <w:t>Wheeler Hubbell</w:t>
      </w:r>
    </w:p>
    <w:p>
      <w:pPr>
        <w:keepNext w:val="0"/>
        <w:keepLines w:val="0"/>
        <w:spacing w:before="0" w:after="20" w:line="240" w:lineRule="auto"/>
      </w:pPr>
      <w:r>
        <w:rPr>
          <w:rFonts w:ascii="Carlito" w:hAnsi="Carlito" w:eastAsia="Carlito"/>
          <w:color w:val="58616A"/>
          <w:sz w:val="20"/>
        </w:rPr>
        <w:t>Decision Integrity Architect</w:t>
      </w:r>
    </w:p>
    <w:p>
      <w:pPr>
        <w:keepNext w:val="0"/>
        <w:keepLines w:val="0"/>
        <w:spacing w:before="0" w:after="0" w:line="240" w:lineRule="auto"/>
      </w:pPr>
      <w:r>
        <w:rPr>
          <w:rFonts w:ascii="Carlito" w:hAnsi="Carlito" w:eastAsia="Carlito"/>
          <w:b/>
          <w:color w:val="3F78A8"/>
          <w:sz w:val="18"/>
        </w:rPr>
        <w:t>Originator of the Cartographer's Method</w:t>
      </w:r>
    </w:p>
    <w:sectPr w:rsidR="00FC693F" w:rsidRPr="0006063C" w:rsidSect="00034616">
      <w:headerReference w:type="default" r:id="rId9"/>
      <w:footerReference w:type="default" r:id="rId10"/>
      <w:pgSz w:w="12240" w:h="15840"/>
      <w:pgMar w:top="893" w:right="936" w:bottom="835"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352"/>
      <w:gridCol w:w="1872"/>
    </w:tblGrid>
    <w:tr>
      <w:tc>
        <w:tcPr>
          <w:tcW w:type="dxa" w:w="5112"/>
          <w:tcMar>
            <w:top w:w="0" w:type="dxa"/>
            <w:start w:w="0" w:type="dxa"/>
            <w:bottom w:w="0" w:type="dxa"/>
            <w:end w:w="0" w:type="dxa"/>
          </w:tcMar>
          <w:tcBorders/>
        </w:tcPr>
        <w:p>
          <w:pPr>
            <w:keepNext w:val="0"/>
            <w:keepLines w:val="0"/>
            <w:spacing w:before="0" w:after="0" w:line="240" w:lineRule="auto"/>
          </w:pPr>
          <w:r>
            <w:rPr>
              <w:rFonts w:ascii="Carlito" w:hAnsi="Carlito" w:eastAsia="Carlito"/>
              <w:b/>
              <w:color w:val="58616A"/>
              <w:sz w:val="15"/>
            </w:rPr>
            <w:t>PUBLIC PROOF DOSSIER  |  VERSION 2.0  |  JULY 18, 2026</w:t>
          </w:r>
        </w:p>
      </w:tc>
      <w:tc>
        <w:tcPr>
          <w:tcW w:type="dxa" w:w="5112"/>
          <w:tcMar>
            <w:top w:w="0" w:type="dxa"/>
            <w:start w:w="0" w:type="dxa"/>
            <w:bottom w:w="0" w:type="dxa"/>
            <w:end w:w="0" w:type="dxa"/>
          </w:tcMar>
          <w:tcBorders/>
        </w:tcPr>
        <w:p>
          <w:pPr>
            <w:keepNext w:val="0"/>
            <w:keepLines w:val="0"/>
            <w:spacing w:before="0" w:after="0" w:line="240" w:lineRule="auto"/>
            <w:jc w:val="right"/>
          </w:pPr>
          <w:r>
            <w:rPr>
              <w:rFonts w:ascii="Carlito" w:hAnsi="Carlito" w:eastAsia="Carlito"/>
              <w:b/>
              <w:color w:val="58616A"/>
              <w:sz w:val="15"/>
            </w:rPr>
            <w:t xml:space="preserve">PAGE </w:t>
          </w:r>
          <w:r>
            <w:rPr>
              <w:rFonts w:ascii="Carlito" w:hAnsi="Carlito"/>
              <w:color w:val="58616A"/>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0" w:line="240" w:lineRule="auto"/>
      <w:jc w:val="right"/>
      <w:pBdr>
        <w:bottom w:val="single" w:sz="4" w:space="4" w:color="B8C1C8"/>
      </w:pBdr>
    </w:pPr>
    <w:r>
      <w:rPr>
        <w:rFonts w:ascii="Carlito" w:hAnsi="Carlito" w:eastAsia="Carlito"/>
        <w:b/>
        <w:color w:val="58616A"/>
        <w:sz w:val="16"/>
      </w:rPr>
      <w:t>WHEELER HUBBELL  |  DECISION INTEGRITY ARCHITECT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rlito" w:hAnsi="Carlito" w:eastAsia="Carlito"/>
      <w:color w:val="1C1F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rlito" w:hAnsi="Carlito" w:eastAsia="Carlito"/>
      <w:sz w:val="19"/>
    </w:rPr>
  </w:style>
  <w:style w:type="paragraph" w:styleId="ListBullet2">
    <w:name w:val="List Bullet 2"/>
    <w:basedOn w:val="Normal"/>
    <w:uiPriority w:val="99"/>
    <w:unhideWhenUsed/>
    <w:rsid w:val="00326F90"/>
    <w:pPr>
      <w:numPr>
        <w:numId w:val="2"/>
      </w:numPr>
      <w:contextualSpacing/>
    </w:pPr>
    <w:rPr>
      <w:rFonts w:ascii="Carlito" w:hAnsi="Carlito" w:eastAsia="Carlito"/>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Assertion to Authority: A Decision Integrity Reconstruction of Mata v. Avianca</dc:title>
  <dc:subject>Public Proof Dossier, Version 2.0</dc:subject>
  <dc:creator>Wheeler Hubbell</dc:creator>
  <cp:keywords>Decision Integrity, Cartographer's Method, Mata v. Avianca, AI governance, authority, provenance</cp:keywords>
  <dc:description>Prepared as a bounded public proof dossier.</dc:description>
  <cp:lastModifiedBy/>
  <cp:revision>1</cp:revision>
  <dcterms:created xsi:type="dcterms:W3CDTF">2013-12-23T23:15:00Z</dcterms:created>
  <dcterms:modified xsi:type="dcterms:W3CDTF">2013-12-23T23:15:00Z</dcterms:modified>
  <cp:category/>
</cp:coreProperties>
</file>